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8B5" w:rsidRPr="004B48B5" w:rsidRDefault="004B48B5" w:rsidP="004B48B5">
      <w:pPr>
        <w:pageBreakBefore/>
        <w:shd w:val="clear" w:color="auto" w:fill="002060"/>
        <w:spacing w:after="200" w:line="276" w:lineRule="auto"/>
        <w:ind w:right="-285"/>
        <w:jc w:val="center"/>
        <w:outlineLvl w:val="0"/>
        <w:rPr>
          <w:rFonts w:ascii="Calibri" w:eastAsia="SimSun" w:hAnsi="Calibri"/>
          <w:b/>
          <w:color w:val="FFFFFF"/>
        </w:rPr>
      </w:pPr>
      <w:r w:rsidRPr="004B48B5">
        <w:rPr>
          <w:rFonts w:eastAsia="SimSun" w:cs="Calibri"/>
          <w:color w:val="00000A"/>
          <w:szCs w:val="22"/>
        </w:rPr>
        <w:fldChar w:fldCharType="begin"/>
      </w:r>
      <w:r w:rsidRPr="004B48B5">
        <w:rPr>
          <w:rFonts w:eastAsia="SimSun" w:cs="Calibri"/>
          <w:color w:val="00000A"/>
          <w:szCs w:val="22"/>
        </w:rPr>
        <w:instrText xml:space="preserve"> HYPERLINK \l "List_of_indicators" </w:instrText>
      </w:r>
      <w:r w:rsidRPr="004B48B5">
        <w:rPr>
          <w:rFonts w:eastAsia="SimSun" w:cs="Calibri"/>
          <w:color w:val="00000A"/>
          <w:szCs w:val="22"/>
        </w:rPr>
        <w:fldChar w:fldCharType="separate"/>
      </w:r>
      <w:r w:rsidRPr="004B48B5">
        <w:rPr>
          <w:rFonts w:ascii="Calibri" w:eastAsia="SimSun" w:hAnsi="Calibri"/>
          <w:b/>
          <w:color w:val="FFFFFF"/>
          <w:u w:val="single"/>
        </w:rPr>
        <w:t xml:space="preserve">Target </w:t>
      </w:r>
      <w:r w:rsidRPr="004B48B5">
        <w:rPr>
          <w:rFonts w:ascii="Calibri" w:eastAsia="SimSun" w:hAnsi="Calibri"/>
          <w:b/>
          <w:color w:val="FFFFFF"/>
          <w:u w:val="single"/>
        </w:rPr>
        <w:fldChar w:fldCharType="end"/>
      </w:r>
      <w:r w:rsidRPr="004B48B5">
        <w:rPr>
          <w:rFonts w:ascii="Calibri" w:eastAsia="SimSun" w:hAnsi="Calibri"/>
          <w:b/>
          <w:color w:val="FFFFFF"/>
          <w:u w:val="single"/>
          <w:shd w:val="clear" w:color="auto" w:fill="002060"/>
        </w:rPr>
        <w:t>15.1</w:t>
      </w:r>
      <w:r w:rsidRPr="004B48B5">
        <w:rPr>
          <w:rFonts w:ascii="Calibri" w:eastAsia="SimSun" w:hAnsi="Calibri"/>
          <w:b/>
          <w:color w:val="FFFFFF"/>
        </w:rPr>
        <w:t xml:space="preserve"> </w:t>
      </w:r>
      <w:r w:rsidRPr="004B48B5">
        <w:rPr>
          <w:rFonts w:ascii="Calibri" w:eastAsia="SimSun" w:hAnsi="Calibri"/>
          <w:b/>
          <w:color w:val="FFFFFF"/>
        </w:rPr>
        <w:br/>
        <w:t>“By 2020, ensure the conservation, restoration and sustainable use of terrestrial and inland freshwater ecosystems and their services, in particular forests, wetlands, mountains and drylands, in line with obligations under international agreements”</w:t>
      </w:r>
    </w:p>
    <w:p w:rsidR="004B48B5" w:rsidRPr="004B48B5" w:rsidRDefault="004B48B5" w:rsidP="004B48B5">
      <w:pPr>
        <w:shd w:val="clear" w:color="auto" w:fill="FFFFFF"/>
        <w:spacing w:after="200" w:line="276" w:lineRule="auto"/>
        <w:ind w:right="-285"/>
        <w:jc w:val="center"/>
        <w:rPr>
          <w:rFonts w:eastAsia="SimSun" w:cs="Calibri"/>
          <w:color w:val="00000A"/>
          <w:szCs w:val="22"/>
        </w:rPr>
      </w:pPr>
    </w:p>
    <w:bookmarkStart w:id="0" w:name="Indicator_15_1_1"/>
    <w:p w:rsidR="004B48B5" w:rsidRPr="004B48B5" w:rsidRDefault="004B48B5" w:rsidP="004B48B5">
      <w:pPr>
        <w:shd w:val="clear" w:color="auto" w:fill="99FF99"/>
        <w:spacing w:after="200" w:line="276" w:lineRule="auto"/>
        <w:ind w:right="-285"/>
        <w:jc w:val="center"/>
        <w:rPr>
          <w:rFonts w:ascii="Calibri" w:eastAsia="SimSun" w:hAnsi="Calibri"/>
          <w:b/>
          <w:color w:val="auto"/>
        </w:rPr>
      </w:pPr>
      <w:r w:rsidRPr="004B48B5">
        <w:rPr>
          <w:rFonts w:eastAsia="SimSun" w:cs="Calibri"/>
          <w:color w:val="auto"/>
          <w:szCs w:val="22"/>
        </w:rPr>
        <w:fldChar w:fldCharType="begin"/>
      </w:r>
      <w:r w:rsidRPr="004B48B5">
        <w:rPr>
          <w:rFonts w:eastAsia="SimSun" w:cs="Calibri"/>
          <w:color w:val="auto"/>
          <w:szCs w:val="22"/>
        </w:rPr>
        <w:instrText>HYPERLINK \l "List_of_indicators"</w:instrText>
      </w:r>
      <w:r w:rsidRPr="004B48B5">
        <w:rPr>
          <w:rFonts w:eastAsia="SimSun" w:cs="Calibri"/>
          <w:color w:val="auto"/>
          <w:szCs w:val="22"/>
        </w:rPr>
        <w:fldChar w:fldCharType="separate"/>
      </w:r>
      <w:r w:rsidRPr="004B48B5">
        <w:rPr>
          <w:rFonts w:ascii="Calibri" w:eastAsia="SimSun" w:hAnsi="Calibri"/>
          <w:b/>
          <w:color w:val="auto"/>
        </w:rPr>
        <w:t>Indicator 15.1.1</w:t>
      </w:r>
      <w:r w:rsidRPr="004B48B5">
        <w:rPr>
          <w:rFonts w:eastAsia="SimSun" w:cs="Calibri"/>
          <w:color w:val="auto"/>
          <w:szCs w:val="22"/>
        </w:rPr>
        <w:fldChar w:fldCharType="end"/>
      </w:r>
      <w:bookmarkEnd w:id="0"/>
      <w:r w:rsidRPr="004B48B5">
        <w:rPr>
          <w:rFonts w:ascii="Calibri" w:eastAsia="SimSun" w:hAnsi="Calibri"/>
          <w:b/>
          <w:color w:val="auto"/>
        </w:rPr>
        <w:t xml:space="preserve"> (Core</w:t>
      </w:r>
      <w:proofErr w:type="gramStart"/>
      <w:r w:rsidRPr="004B48B5">
        <w:rPr>
          <w:rFonts w:ascii="Calibri" w:eastAsia="SimSun" w:hAnsi="Calibri"/>
          <w:b/>
          <w:color w:val="auto"/>
        </w:rPr>
        <w:t>)</w:t>
      </w:r>
      <w:proofErr w:type="gramEnd"/>
      <w:r w:rsidRPr="004B48B5">
        <w:rPr>
          <w:rFonts w:ascii="Calibri" w:eastAsia="SimSun" w:hAnsi="Calibri"/>
          <w:b/>
          <w:color w:val="auto"/>
        </w:rPr>
        <w:br/>
        <w:t>“</w:t>
      </w:r>
      <w:r w:rsidRPr="004B48B5">
        <w:rPr>
          <w:rFonts w:ascii="Calibri" w:eastAsia="SimSun" w:hAnsi="Calibri"/>
          <w:color w:val="auto"/>
        </w:rPr>
        <w:t>Forest area as a percentage of total land area</w:t>
      </w:r>
      <w:r w:rsidRPr="004B48B5">
        <w:rPr>
          <w:rFonts w:ascii="Calibri" w:eastAsia="SimSun" w:hAnsi="Calibri"/>
          <w:b/>
          <w:color w:val="auto"/>
        </w:rPr>
        <w:t>”</w:t>
      </w:r>
    </w:p>
    <w:p w:rsidR="004B48B5" w:rsidRPr="004B48B5" w:rsidRDefault="004B48B5" w:rsidP="004B48B5">
      <w:pPr>
        <w:spacing w:after="200" w:line="276" w:lineRule="auto"/>
        <w:ind w:left="1440" w:right="-285"/>
        <w:contextualSpacing/>
        <w:jc w:val="both"/>
        <w:rPr>
          <w:rFonts w:ascii="Calibri" w:eastAsia="SimSun" w:hAnsi="Calibri"/>
          <w:b/>
          <w:bCs/>
          <w:color w:val="auto"/>
          <w:sz w:val="22"/>
          <w:szCs w:val="22"/>
          <w:lang w:eastAsia="en-GB"/>
        </w:rPr>
      </w:pPr>
    </w:p>
    <w:p w:rsidR="004B48B5" w:rsidRPr="004B48B5" w:rsidRDefault="004B48B5" w:rsidP="004B48B5">
      <w:pPr>
        <w:numPr>
          <w:ilvl w:val="1"/>
          <w:numId w:val="3"/>
        </w:numPr>
        <w:suppressAutoHyphens/>
        <w:spacing w:after="200" w:line="276" w:lineRule="auto"/>
        <w:ind w:right="-285"/>
        <w:contextualSpacing/>
        <w:jc w:val="both"/>
        <w:rPr>
          <w:rFonts w:ascii="Calibri" w:eastAsia="SimSun" w:hAnsi="Calibri"/>
          <w:b/>
          <w:bCs/>
          <w:color w:val="auto"/>
          <w:sz w:val="22"/>
          <w:szCs w:val="22"/>
          <w:lang w:eastAsia="en-GB"/>
        </w:rPr>
      </w:pPr>
      <w:r w:rsidRPr="004B48B5">
        <w:rPr>
          <w:rFonts w:ascii="Calibri" w:eastAsia="SimSun" w:hAnsi="Calibri"/>
          <w:b/>
          <w:bCs/>
          <w:color w:val="auto"/>
          <w:sz w:val="22"/>
          <w:szCs w:val="22"/>
          <w:lang w:eastAsia="en-GB"/>
        </w:rPr>
        <w:t>P</w:t>
      </w:r>
      <w:r w:rsidRPr="004B48B5">
        <w:rPr>
          <w:rFonts w:ascii="Calibri" w:eastAsia="SimSun" w:hAnsi="Calibri"/>
          <w:b/>
          <w:bCs/>
          <w:iCs/>
          <w:color w:val="auto"/>
          <w:sz w:val="22"/>
          <w:szCs w:val="22"/>
          <w:lang w:eastAsia="en-GB"/>
        </w:rPr>
        <w:t>recise</w:t>
      </w:r>
      <w:r w:rsidRPr="004B48B5">
        <w:rPr>
          <w:rFonts w:ascii="Calibri" w:eastAsia="SimSun" w:hAnsi="Calibri"/>
          <w:b/>
          <w:bCs/>
          <w:color w:val="auto"/>
          <w:sz w:val="22"/>
          <w:szCs w:val="22"/>
          <w:lang w:eastAsia="en-GB"/>
        </w:rPr>
        <w:t xml:space="preserve"> definition of the indicator</w:t>
      </w:r>
    </w:p>
    <w:p w:rsidR="004B48B5" w:rsidRPr="004B48B5" w:rsidRDefault="004B48B5" w:rsidP="004B48B5">
      <w:pPr>
        <w:spacing w:after="200" w:line="276" w:lineRule="auto"/>
        <w:ind w:right="-285"/>
        <w:jc w:val="both"/>
        <w:rPr>
          <w:rFonts w:ascii="Calibri" w:eastAsia="SimSun" w:hAnsi="Calibri"/>
          <w:bCs/>
          <w:color w:val="auto"/>
          <w:sz w:val="22"/>
          <w:szCs w:val="22"/>
          <w:lang w:eastAsia="en-GB"/>
        </w:rPr>
      </w:pPr>
      <w:r w:rsidRPr="004B48B5">
        <w:rPr>
          <w:rFonts w:ascii="Calibri" w:eastAsia="SimSun" w:hAnsi="Calibri"/>
          <w:color w:val="auto"/>
          <w:sz w:val="22"/>
          <w:szCs w:val="22"/>
          <w:lang w:eastAsia="en-GB"/>
        </w:rPr>
        <w:t>The indicator is already included among the indicators for the Millennium Development Goals (MDG) (indicator 7.1 “Proportion of land covered by forest”)</w:t>
      </w:r>
      <w:r w:rsidRPr="004B48B5">
        <w:rPr>
          <w:rFonts w:ascii="Calibri" w:eastAsia="SimSun" w:hAnsi="Calibri"/>
          <w:color w:val="auto"/>
          <w:sz w:val="22"/>
          <w:szCs w:val="22"/>
          <w:vertAlign w:val="superscript"/>
          <w:lang w:eastAsia="en-GB"/>
        </w:rPr>
        <w:footnoteReference w:id="1"/>
      </w:r>
      <w:r w:rsidRPr="004B48B5">
        <w:rPr>
          <w:rFonts w:ascii="Calibri" w:eastAsia="SimSun" w:hAnsi="Calibri"/>
          <w:color w:val="auto"/>
          <w:sz w:val="22"/>
          <w:szCs w:val="22"/>
          <w:lang w:eastAsia="en-GB"/>
        </w:rPr>
        <w:t xml:space="preserve">. In order to provide a precise definition of the indicator, it is crucial to provide a definition of “Forest” and “Total Land Area”. According to the FAO definitions, </w:t>
      </w:r>
      <w:r w:rsidRPr="004B48B5">
        <w:rPr>
          <w:rFonts w:ascii="Calibri" w:eastAsia="SimSun" w:hAnsi="Calibri"/>
          <w:b/>
          <w:color w:val="auto"/>
          <w:sz w:val="22"/>
          <w:szCs w:val="22"/>
          <w:lang w:eastAsia="en-GB"/>
        </w:rPr>
        <w:t>Forest</w:t>
      </w:r>
      <w:r w:rsidRPr="004B48B5">
        <w:rPr>
          <w:rFonts w:ascii="Calibri" w:eastAsia="SimSun" w:hAnsi="Calibri"/>
          <w:color w:val="auto"/>
          <w:sz w:val="22"/>
          <w:szCs w:val="22"/>
          <w:lang w:eastAsia="en-GB"/>
        </w:rPr>
        <w:t xml:space="preserve"> is defined as “l</w:t>
      </w:r>
      <w:r w:rsidRPr="004B48B5">
        <w:rPr>
          <w:rFonts w:ascii="Calibri" w:eastAsia="SimSun" w:hAnsi="Calibri"/>
          <w:bCs/>
          <w:color w:val="auto"/>
          <w:sz w:val="22"/>
          <w:szCs w:val="22"/>
          <w:lang w:eastAsia="en-GB"/>
        </w:rPr>
        <w:t xml:space="preserve">and spanning more than 0.5 hectares with trees higher than 5 meters and a canopy cover of more than 10 percent, or trees able to reach these thresholds </w:t>
      </w:r>
      <w:r w:rsidRPr="004B48B5">
        <w:rPr>
          <w:rFonts w:ascii="Calibri" w:eastAsia="SimSun" w:hAnsi="Calibri"/>
          <w:bCs/>
          <w:i/>
          <w:iCs/>
          <w:color w:val="auto"/>
          <w:sz w:val="22"/>
          <w:szCs w:val="22"/>
          <w:lang w:eastAsia="en-GB"/>
        </w:rPr>
        <w:t>in situ</w:t>
      </w:r>
      <w:r w:rsidRPr="004B48B5">
        <w:rPr>
          <w:rFonts w:ascii="Calibri" w:eastAsia="SimSun" w:hAnsi="Calibri"/>
          <w:bCs/>
          <w:color w:val="auto"/>
          <w:sz w:val="22"/>
          <w:szCs w:val="22"/>
          <w:lang w:eastAsia="en-GB"/>
        </w:rPr>
        <w:t>. It does not include land that is predominantly under agricultural or urban land use”. More specifically:</w:t>
      </w:r>
    </w:p>
    <w:p w:rsidR="004B48B5" w:rsidRPr="004B48B5" w:rsidRDefault="004B48B5" w:rsidP="004B48B5">
      <w:pPr>
        <w:numPr>
          <w:ilvl w:val="0"/>
          <w:numId w:val="4"/>
        </w:numPr>
        <w:suppressAutoHyphens/>
        <w:spacing w:after="200" w:line="276" w:lineRule="auto"/>
        <w:ind w:left="709"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 xml:space="preserve">Forest is determined both by the presence of trees and the absence of other predominant land uses. The trees should be able to reach a minimum height of 5 meters. </w:t>
      </w:r>
    </w:p>
    <w:p w:rsidR="004B48B5" w:rsidRPr="004B48B5" w:rsidRDefault="004B48B5" w:rsidP="004B48B5">
      <w:pPr>
        <w:numPr>
          <w:ilvl w:val="0"/>
          <w:numId w:val="4"/>
        </w:numPr>
        <w:suppressAutoHyphens/>
        <w:spacing w:after="200" w:line="276" w:lineRule="auto"/>
        <w:ind w:left="709"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 xml:space="preserve">It includes areas with young trees that have not yet reached but which are expected to reach a canopy cover of at least 10 percent and tree height of 5 meters or more. It also includes areas that are temporarily </w:t>
      </w:r>
      <w:proofErr w:type="spellStart"/>
      <w:r w:rsidRPr="004B48B5">
        <w:rPr>
          <w:rFonts w:ascii="Calibri" w:eastAsia="SimSun" w:hAnsi="Calibri"/>
          <w:color w:val="auto"/>
          <w:sz w:val="22"/>
          <w:szCs w:val="22"/>
          <w:lang w:eastAsia="en-GB"/>
        </w:rPr>
        <w:t>unstocked</w:t>
      </w:r>
      <w:proofErr w:type="spellEnd"/>
      <w:r w:rsidRPr="004B48B5">
        <w:rPr>
          <w:rFonts w:ascii="Calibri" w:eastAsia="SimSun" w:hAnsi="Calibri"/>
          <w:color w:val="auto"/>
          <w:sz w:val="22"/>
          <w:szCs w:val="22"/>
          <w:lang w:eastAsia="en-GB"/>
        </w:rPr>
        <w:t xml:space="preserve"> due to clear-cutting as part of a forest management practice or natural disasters, and which are expected to be regenerated within 5 years. Local conditions may, in exceptional cases, justify that a longer time frame is used.</w:t>
      </w:r>
    </w:p>
    <w:p w:rsidR="004B48B5" w:rsidRPr="004B48B5" w:rsidRDefault="004B48B5" w:rsidP="004B48B5">
      <w:pPr>
        <w:numPr>
          <w:ilvl w:val="0"/>
          <w:numId w:val="4"/>
        </w:numPr>
        <w:suppressAutoHyphens/>
        <w:spacing w:after="200" w:line="276" w:lineRule="auto"/>
        <w:ind w:left="709"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It includes forest roads, firebreaks and other small open areas; forest in national parks, nature reserves and other protected areas such as those of specific environmental, scientific, historical, cultural or spiritual interest.</w:t>
      </w:r>
    </w:p>
    <w:p w:rsidR="004B48B5" w:rsidRPr="004B48B5" w:rsidRDefault="004B48B5" w:rsidP="004B48B5">
      <w:pPr>
        <w:numPr>
          <w:ilvl w:val="0"/>
          <w:numId w:val="4"/>
        </w:numPr>
        <w:suppressAutoHyphens/>
        <w:spacing w:after="200" w:line="276" w:lineRule="auto"/>
        <w:ind w:left="709"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It includes windbreaks, shelterbelts and corridors of trees with an area of more than 0.5 hectares and width of more than 20 meters.</w:t>
      </w:r>
    </w:p>
    <w:p w:rsidR="004B48B5" w:rsidRPr="004B48B5" w:rsidRDefault="004B48B5" w:rsidP="004B48B5">
      <w:pPr>
        <w:numPr>
          <w:ilvl w:val="0"/>
          <w:numId w:val="4"/>
        </w:numPr>
        <w:suppressAutoHyphens/>
        <w:spacing w:after="200" w:line="276" w:lineRule="auto"/>
        <w:ind w:left="709"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 xml:space="preserve">It includes abandoned shifting cultivation land with a regeneration of trees that have, </w:t>
      </w:r>
      <w:proofErr w:type="gramStart"/>
      <w:r w:rsidRPr="004B48B5">
        <w:rPr>
          <w:rFonts w:ascii="Calibri" w:eastAsia="SimSun" w:hAnsi="Calibri"/>
          <w:color w:val="auto"/>
          <w:sz w:val="22"/>
          <w:szCs w:val="22"/>
          <w:lang w:eastAsia="en-GB"/>
        </w:rPr>
        <w:t>or  are</w:t>
      </w:r>
      <w:proofErr w:type="gramEnd"/>
      <w:r w:rsidRPr="004B48B5">
        <w:rPr>
          <w:rFonts w:ascii="Calibri" w:eastAsia="SimSun" w:hAnsi="Calibri"/>
          <w:color w:val="auto"/>
          <w:sz w:val="22"/>
          <w:szCs w:val="22"/>
          <w:lang w:eastAsia="en-GB"/>
        </w:rPr>
        <w:t xml:space="preserve"> expected to reach, a canopy cover of  at least 10 percent and tree height of  at least 5 meters.</w:t>
      </w:r>
    </w:p>
    <w:p w:rsidR="004B48B5" w:rsidRPr="004B48B5" w:rsidRDefault="004B48B5" w:rsidP="004B48B5">
      <w:pPr>
        <w:numPr>
          <w:ilvl w:val="0"/>
          <w:numId w:val="4"/>
        </w:numPr>
        <w:suppressAutoHyphens/>
        <w:spacing w:after="200" w:line="276" w:lineRule="auto"/>
        <w:ind w:left="709"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It includes areas with mangroves in tidal zones, regardless whether this area is classified as land area or not.</w:t>
      </w:r>
    </w:p>
    <w:p w:rsidR="004B48B5" w:rsidRPr="004B48B5" w:rsidRDefault="004B48B5" w:rsidP="004B48B5">
      <w:pPr>
        <w:numPr>
          <w:ilvl w:val="0"/>
          <w:numId w:val="4"/>
        </w:numPr>
        <w:suppressAutoHyphens/>
        <w:spacing w:after="200" w:line="276" w:lineRule="auto"/>
        <w:ind w:left="709"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 xml:space="preserve">It includes </w:t>
      </w:r>
      <w:proofErr w:type="spellStart"/>
      <w:r w:rsidRPr="004B48B5">
        <w:rPr>
          <w:rFonts w:ascii="Calibri" w:eastAsia="SimSun" w:hAnsi="Calibri"/>
          <w:color w:val="auto"/>
          <w:sz w:val="22"/>
          <w:szCs w:val="22"/>
          <w:lang w:eastAsia="en-GB"/>
        </w:rPr>
        <w:t>rubberwood</w:t>
      </w:r>
      <w:proofErr w:type="spellEnd"/>
      <w:r w:rsidRPr="004B48B5">
        <w:rPr>
          <w:rFonts w:ascii="Calibri" w:eastAsia="SimSun" w:hAnsi="Calibri"/>
          <w:color w:val="auto"/>
          <w:sz w:val="22"/>
          <w:szCs w:val="22"/>
          <w:lang w:eastAsia="en-GB"/>
        </w:rPr>
        <w:t xml:space="preserve">, cork oak and Christmas tree plantations. </w:t>
      </w:r>
    </w:p>
    <w:p w:rsidR="004B48B5" w:rsidRPr="004B48B5" w:rsidRDefault="004B48B5" w:rsidP="004B48B5">
      <w:pPr>
        <w:numPr>
          <w:ilvl w:val="0"/>
          <w:numId w:val="4"/>
        </w:numPr>
        <w:suppressAutoHyphens/>
        <w:spacing w:after="200" w:line="276" w:lineRule="auto"/>
        <w:ind w:left="709"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It includes areas with bamboo and palms provided that land use, height and canopy cover criteria are met.</w:t>
      </w:r>
    </w:p>
    <w:p w:rsidR="004B48B5" w:rsidRPr="004B48B5" w:rsidRDefault="004B48B5" w:rsidP="004B48B5">
      <w:pPr>
        <w:numPr>
          <w:ilvl w:val="0"/>
          <w:numId w:val="4"/>
        </w:numPr>
        <w:suppressAutoHyphens/>
        <w:spacing w:after="200" w:line="276" w:lineRule="auto"/>
        <w:ind w:left="709" w:right="-285"/>
        <w:jc w:val="both"/>
        <w:rPr>
          <w:rFonts w:ascii="Calibri" w:eastAsia="SimSun" w:hAnsi="Calibri"/>
          <w:color w:val="auto"/>
          <w:sz w:val="22"/>
          <w:szCs w:val="22"/>
          <w:lang w:eastAsia="en-GB"/>
        </w:rPr>
      </w:pPr>
      <w:r w:rsidRPr="004B48B5">
        <w:rPr>
          <w:rFonts w:ascii="Calibri" w:eastAsia="SimSun" w:hAnsi="Calibri"/>
          <w:color w:val="auto"/>
          <w:sz w:val="22"/>
          <w:szCs w:val="22"/>
          <w:u w:val="single"/>
          <w:lang w:eastAsia="en-GB"/>
        </w:rPr>
        <w:lastRenderedPageBreak/>
        <w:t>It excludes</w:t>
      </w:r>
      <w:r w:rsidRPr="004B48B5">
        <w:rPr>
          <w:rFonts w:ascii="Calibri" w:eastAsia="SimSun" w:hAnsi="Calibri"/>
          <w:color w:val="auto"/>
          <w:sz w:val="22"/>
          <w:szCs w:val="22"/>
          <w:lang w:eastAsia="en-GB"/>
        </w:rPr>
        <w:t xml:space="preserve"> tree stands in agricultural production systems, such as fruit tree plantations, oil palm plantations, olive orchards and agroforestry systems when crops are grown under tree cover.  Note: Some agroforestry systems such as the “</w:t>
      </w:r>
      <w:proofErr w:type="spellStart"/>
      <w:r w:rsidRPr="004B48B5">
        <w:rPr>
          <w:rFonts w:ascii="Calibri" w:eastAsia="SimSun" w:hAnsi="Calibri"/>
          <w:color w:val="auto"/>
          <w:sz w:val="22"/>
          <w:szCs w:val="22"/>
          <w:lang w:eastAsia="en-GB"/>
        </w:rPr>
        <w:t>Taungya</w:t>
      </w:r>
      <w:proofErr w:type="spellEnd"/>
      <w:r w:rsidRPr="004B48B5">
        <w:rPr>
          <w:rFonts w:ascii="Calibri" w:eastAsia="SimSun" w:hAnsi="Calibri"/>
          <w:color w:val="auto"/>
          <w:sz w:val="22"/>
          <w:szCs w:val="22"/>
          <w:lang w:eastAsia="en-GB"/>
        </w:rPr>
        <w:t>” system where crops are grown only during the first years of the forest rotation should be classified as forest.</w:t>
      </w:r>
    </w:p>
    <w:p w:rsidR="004B48B5" w:rsidRPr="004B48B5" w:rsidRDefault="004B48B5" w:rsidP="004B48B5">
      <w:pPr>
        <w:spacing w:line="276" w:lineRule="auto"/>
        <w:ind w:right="-285"/>
        <w:jc w:val="both"/>
        <w:rPr>
          <w:rFonts w:ascii="Calibri" w:eastAsia="SimSun" w:hAnsi="Calibri"/>
          <w:b/>
          <w:color w:val="auto"/>
          <w:sz w:val="22"/>
          <w:szCs w:val="22"/>
          <w:lang w:eastAsia="en-GB"/>
        </w:rPr>
      </w:pPr>
    </w:p>
    <w:p w:rsidR="004B48B5" w:rsidRPr="004B48B5" w:rsidRDefault="004B48B5" w:rsidP="004B48B5">
      <w:pPr>
        <w:spacing w:after="200" w:line="276" w:lineRule="auto"/>
        <w:ind w:right="-285"/>
        <w:jc w:val="both"/>
        <w:rPr>
          <w:rFonts w:ascii="Calibri" w:eastAsia="SimSun" w:hAnsi="Calibri"/>
          <w:color w:val="auto"/>
          <w:sz w:val="22"/>
          <w:szCs w:val="22"/>
          <w:lang w:eastAsia="en-GB"/>
        </w:rPr>
      </w:pPr>
      <w:r w:rsidRPr="004B48B5">
        <w:rPr>
          <w:rFonts w:ascii="Calibri" w:eastAsia="SimSun" w:hAnsi="Calibri"/>
          <w:b/>
          <w:color w:val="auto"/>
          <w:sz w:val="22"/>
          <w:szCs w:val="22"/>
          <w:lang w:eastAsia="en-GB"/>
        </w:rPr>
        <w:t xml:space="preserve">Total land area </w:t>
      </w:r>
      <w:r w:rsidRPr="004B48B5">
        <w:rPr>
          <w:rFonts w:ascii="Calibri" w:eastAsia="SimSun" w:hAnsi="Calibri"/>
          <w:color w:val="auto"/>
          <w:sz w:val="22"/>
          <w:szCs w:val="22"/>
          <w:lang w:eastAsia="en-GB"/>
        </w:rPr>
        <w:t>is the total surface area of a country less the area covered by inland waters, like major rivers and lakes.</w:t>
      </w:r>
    </w:p>
    <w:p w:rsidR="004B48B5" w:rsidRPr="004B48B5" w:rsidRDefault="004B48B5" w:rsidP="004B48B5">
      <w:pPr>
        <w:numPr>
          <w:ilvl w:val="1"/>
          <w:numId w:val="3"/>
        </w:numPr>
        <w:suppressAutoHyphens/>
        <w:spacing w:after="200" w:line="276" w:lineRule="auto"/>
        <w:ind w:right="-285"/>
        <w:contextualSpacing/>
        <w:jc w:val="both"/>
        <w:rPr>
          <w:rFonts w:ascii="Calibri" w:eastAsia="SimSun" w:hAnsi="Calibri"/>
          <w:b/>
          <w:bCs/>
          <w:color w:val="auto"/>
          <w:sz w:val="22"/>
          <w:szCs w:val="22"/>
          <w:lang w:eastAsia="en-GB"/>
        </w:rPr>
      </w:pPr>
      <w:r w:rsidRPr="004B48B5">
        <w:rPr>
          <w:rFonts w:ascii="Calibri" w:eastAsia="SimSun" w:hAnsi="Calibri"/>
          <w:b/>
          <w:bCs/>
          <w:color w:val="auto"/>
          <w:sz w:val="22"/>
          <w:szCs w:val="22"/>
          <w:lang w:eastAsia="en-GB"/>
        </w:rPr>
        <w:t>How is the indicator linked to the specific TARGET as worded in the OWG Report?</w:t>
      </w:r>
    </w:p>
    <w:p w:rsidR="004B48B5" w:rsidRPr="004B48B5" w:rsidRDefault="004B48B5" w:rsidP="004B48B5">
      <w:pPr>
        <w:spacing w:after="200" w:line="276" w:lineRule="auto"/>
        <w:ind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 xml:space="preserve">Forests fulfil a number of functions that are vital for humanity, including the provision of goods (wood and non-wood forest products) and services such as habitat for biodiversity, carbon sequestration, coastal protection and soil and water conservation. </w:t>
      </w:r>
    </w:p>
    <w:p w:rsidR="004B48B5" w:rsidRPr="004B48B5" w:rsidRDefault="004B48B5" w:rsidP="004B48B5">
      <w:pPr>
        <w:spacing w:after="200" w:line="276" w:lineRule="auto"/>
        <w:ind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The indicator provides a measure of the relative extent of forest in a country. The availability of accurate data on a country's forest area is a key element for forest policy and planning within the context of sustainable development. Changes in forest area reflect the demand for land for other uses and may help identify unsustainable practices in the forestry and agricultural sector.</w:t>
      </w:r>
    </w:p>
    <w:p w:rsidR="004B48B5" w:rsidRPr="004B48B5" w:rsidRDefault="004B48B5" w:rsidP="004B48B5">
      <w:pPr>
        <w:spacing w:after="200" w:line="276" w:lineRule="auto"/>
        <w:ind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Forest area as percentage of total land area may be used as a rough proxy for the extent to which the forests in a country are being conserved or restored, but it is only partly a measure for the extent to which they are sustainably managed.</w:t>
      </w:r>
    </w:p>
    <w:p w:rsidR="004B48B5" w:rsidRPr="004B48B5" w:rsidRDefault="004B48B5" w:rsidP="004B48B5">
      <w:pPr>
        <w:spacing w:after="200" w:line="276" w:lineRule="auto"/>
        <w:ind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This is indicator is primarily proposed for Target 15.1. However, it is also related to Target 6.6.</w:t>
      </w:r>
    </w:p>
    <w:p w:rsidR="004B48B5" w:rsidRPr="004B48B5" w:rsidRDefault="004B48B5" w:rsidP="004B48B5">
      <w:pPr>
        <w:spacing w:after="200" w:line="276" w:lineRule="auto"/>
        <w:ind w:left="360" w:right="-285"/>
        <w:jc w:val="both"/>
        <w:rPr>
          <w:rFonts w:ascii="Calibri" w:eastAsia="SimSun" w:hAnsi="Calibri"/>
          <w:b/>
          <w:bCs/>
          <w:color w:val="auto"/>
          <w:sz w:val="22"/>
          <w:szCs w:val="22"/>
          <w:lang w:eastAsia="en-GB"/>
        </w:rPr>
      </w:pPr>
      <w:r w:rsidRPr="004B48B5">
        <w:rPr>
          <w:rFonts w:ascii="Calibri" w:eastAsia="SimSun" w:hAnsi="Calibri"/>
          <w:b/>
          <w:bCs/>
          <w:color w:val="auto"/>
          <w:sz w:val="22"/>
          <w:szCs w:val="22"/>
          <w:lang w:eastAsia="en-GB"/>
        </w:rPr>
        <w:t>3.</w:t>
      </w:r>
      <w:r w:rsidRPr="004B48B5">
        <w:rPr>
          <w:rFonts w:ascii="Calibri" w:eastAsia="SimSun" w:hAnsi="Calibri"/>
          <w:b/>
          <w:bCs/>
          <w:color w:val="auto"/>
          <w:sz w:val="22"/>
          <w:szCs w:val="22"/>
          <w:lang w:eastAsia="en-GB"/>
        </w:rPr>
        <w:tab/>
        <w:t>Does the indicator already exist and is it regularly reported?</w:t>
      </w:r>
    </w:p>
    <w:p w:rsidR="004B48B5" w:rsidRPr="004B48B5" w:rsidRDefault="004B48B5" w:rsidP="004B48B5">
      <w:pPr>
        <w:spacing w:after="200" w:line="276" w:lineRule="auto"/>
        <w:ind w:right="-285"/>
        <w:jc w:val="both"/>
        <w:rPr>
          <w:rFonts w:ascii="Calibri" w:eastAsia="SimSun" w:hAnsi="Calibri"/>
          <w:bCs/>
          <w:color w:val="auto"/>
          <w:sz w:val="22"/>
          <w:szCs w:val="22"/>
          <w:lang w:eastAsia="en-GB"/>
        </w:rPr>
      </w:pPr>
      <w:r w:rsidRPr="004B48B5">
        <w:rPr>
          <w:rFonts w:ascii="Calibri" w:eastAsia="SimSun" w:hAnsi="Calibri"/>
          <w:bCs/>
          <w:color w:val="auto"/>
          <w:sz w:val="22"/>
          <w:szCs w:val="22"/>
          <w:lang w:eastAsia="en-GB"/>
        </w:rPr>
        <w:t xml:space="preserve">Yes, the indicator already exists. FAO reports the data to UNSTATS. Further information can be found at: </w:t>
      </w:r>
      <w:hyperlink r:id="rId8" w:history="1">
        <w:r w:rsidRPr="004B48B5">
          <w:rPr>
            <w:rFonts w:ascii="Calibri" w:eastAsia="SimSun" w:hAnsi="Calibri"/>
            <w:color w:val="auto"/>
            <w:sz w:val="22"/>
            <w:szCs w:val="22"/>
            <w:u w:val="single"/>
            <w:lang w:eastAsia="en-GB"/>
          </w:rPr>
          <w:t>http://mdgs.un.org/unsd/mdg/Metadata.aspx</w:t>
        </w:r>
      </w:hyperlink>
      <w:r w:rsidRPr="004B48B5">
        <w:rPr>
          <w:rFonts w:ascii="Calibri" w:eastAsia="SimSun" w:hAnsi="Calibri"/>
          <w:bCs/>
          <w:color w:val="auto"/>
          <w:sz w:val="22"/>
          <w:szCs w:val="22"/>
          <w:lang w:eastAsia="en-GB"/>
        </w:rPr>
        <w:t xml:space="preserve"> (metadata needs updating).</w:t>
      </w:r>
    </w:p>
    <w:p w:rsidR="004B48B5" w:rsidRPr="004B48B5" w:rsidRDefault="004B48B5" w:rsidP="004B48B5">
      <w:pPr>
        <w:numPr>
          <w:ilvl w:val="0"/>
          <w:numId w:val="11"/>
        </w:numPr>
        <w:suppressAutoHyphens/>
        <w:spacing w:after="200" w:line="276" w:lineRule="auto"/>
        <w:ind w:right="-285"/>
        <w:contextualSpacing/>
        <w:jc w:val="both"/>
        <w:rPr>
          <w:rFonts w:ascii="Calibri" w:eastAsia="SimSun" w:hAnsi="Calibri"/>
          <w:b/>
          <w:bCs/>
          <w:color w:val="auto"/>
          <w:sz w:val="22"/>
          <w:szCs w:val="22"/>
          <w:lang w:eastAsia="en-GB"/>
        </w:rPr>
      </w:pPr>
      <w:r w:rsidRPr="004B48B5">
        <w:rPr>
          <w:rFonts w:ascii="Calibri" w:eastAsia="SimSun" w:hAnsi="Calibri"/>
          <w:b/>
          <w:bCs/>
          <w:color w:val="auto"/>
          <w:sz w:val="22"/>
          <w:szCs w:val="22"/>
          <w:lang w:eastAsia="en-GB"/>
        </w:rPr>
        <w:t>Comment on the reliability, potential coverage, comparability across countries, and the possibility to compute the indicator at sub-national level.</w:t>
      </w:r>
    </w:p>
    <w:p w:rsidR="004B48B5" w:rsidRPr="004B48B5" w:rsidRDefault="004B48B5" w:rsidP="004B48B5">
      <w:pPr>
        <w:spacing w:after="200" w:line="276" w:lineRule="auto"/>
        <w:ind w:right="-285"/>
        <w:jc w:val="both"/>
        <w:rPr>
          <w:rFonts w:ascii="Calibri" w:eastAsia="SimSun" w:hAnsi="Calibri"/>
          <w:color w:val="auto"/>
          <w:sz w:val="22"/>
          <w:szCs w:val="22"/>
          <w:u w:val="single"/>
          <w:lang w:eastAsia="en-GB"/>
        </w:rPr>
      </w:pPr>
      <w:r w:rsidRPr="004B48B5">
        <w:rPr>
          <w:rFonts w:ascii="Calibri" w:eastAsia="SimSun" w:hAnsi="Calibri"/>
          <w:bCs/>
          <w:iCs/>
          <w:color w:val="auto"/>
          <w:sz w:val="22"/>
          <w:szCs w:val="22"/>
          <w:u w:val="single"/>
          <w:lang w:eastAsia="en-GB"/>
        </w:rPr>
        <w:t>Reliability</w:t>
      </w:r>
    </w:p>
    <w:p w:rsidR="004B48B5" w:rsidRPr="004B48B5" w:rsidRDefault="004B48B5" w:rsidP="004B48B5">
      <w:pPr>
        <w:spacing w:after="200" w:line="276" w:lineRule="auto"/>
        <w:ind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 xml:space="preserve">It is not possible to determine a statistical margin of error of the estimates. The accuracy varies across countries depending on available information. </w:t>
      </w:r>
    </w:p>
    <w:p w:rsidR="004B48B5" w:rsidRPr="004B48B5" w:rsidRDefault="004B48B5" w:rsidP="004B48B5">
      <w:pPr>
        <w:spacing w:after="200" w:line="276" w:lineRule="auto"/>
        <w:ind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When reporting countries are asked to assign a Tier level 1, 2 or 3 indicating the level of detail of data sources used for reporting (where Tier 3 is regarded as the highest level of detail). Typically, Tier 3 estimates are recent data (i.e., less than 10 years ago) from National Forest Inventories (NFIs) or remote sensing, with ground validation or programme for repeated compatible NFIs. Tier 2 are older estimates (i.e., more than 10 years) from NFIs or full cover mapping/remote sensing. Core is any other data sources including expert estimates.</w:t>
      </w:r>
    </w:p>
    <w:p w:rsidR="004B48B5" w:rsidRPr="004B48B5" w:rsidRDefault="004B48B5" w:rsidP="004B48B5">
      <w:pPr>
        <w:spacing w:after="200" w:line="276" w:lineRule="auto"/>
        <w:ind w:right="-285"/>
        <w:jc w:val="both"/>
        <w:rPr>
          <w:rFonts w:ascii="Calibri" w:eastAsia="SimSun" w:hAnsi="Calibri"/>
          <w:color w:val="auto"/>
          <w:sz w:val="22"/>
          <w:szCs w:val="22"/>
          <w:u w:val="single"/>
          <w:lang w:eastAsia="en-GB"/>
        </w:rPr>
      </w:pPr>
      <w:r w:rsidRPr="004B48B5">
        <w:rPr>
          <w:rFonts w:ascii="Calibri" w:eastAsia="SimSun" w:hAnsi="Calibri"/>
          <w:bCs/>
          <w:iCs/>
          <w:color w:val="auto"/>
          <w:sz w:val="22"/>
          <w:szCs w:val="22"/>
          <w:u w:val="single"/>
          <w:lang w:eastAsia="en-GB"/>
        </w:rPr>
        <w:t>Coverage</w:t>
      </w:r>
    </w:p>
    <w:p w:rsidR="004B48B5" w:rsidRPr="004B48B5" w:rsidRDefault="004B48B5" w:rsidP="004B48B5">
      <w:pPr>
        <w:spacing w:after="200" w:line="276" w:lineRule="auto"/>
        <w:ind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FAO carries out global forest resources assessments at 5 year intervals, the results of the FRA 2015 will be released in September 2015 and next assessment will most likely be in 2020. Given the relative low accuracy of the reported data and the slow change, it is not advisable to report these data more frequently (i.e., annual reporting does not provide any added value).</w:t>
      </w:r>
    </w:p>
    <w:p w:rsidR="004B48B5" w:rsidRPr="004B48B5" w:rsidRDefault="004B48B5" w:rsidP="004B48B5">
      <w:pPr>
        <w:spacing w:after="200" w:line="276" w:lineRule="auto"/>
        <w:ind w:right="-285"/>
        <w:jc w:val="both"/>
        <w:rPr>
          <w:rFonts w:ascii="Calibri" w:eastAsia="SimSun" w:hAnsi="Calibri"/>
          <w:color w:val="auto"/>
          <w:sz w:val="22"/>
          <w:szCs w:val="22"/>
          <w:lang w:eastAsia="en-GB"/>
        </w:rPr>
      </w:pPr>
    </w:p>
    <w:p w:rsidR="004B48B5" w:rsidRPr="004B48B5" w:rsidRDefault="004B48B5" w:rsidP="004B48B5">
      <w:pPr>
        <w:spacing w:after="200" w:line="276" w:lineRule="auto"/>
        <w:ind w:right="-285"/>
        <w:jc w:val="both"/>
        <w:rPr>
          <w:rFonts w:ascii="Calibri" w:eastAsia="SimSun" w:hAnsi="Calibri"/>
          <w:color w:val="auto"/>
          <w:sz w:val="22"/>
          <w:szCs w:val="22"/>
          <w:lang w:eastAsia="en-GB"/>
        </w:rPr>
      </w:pPr>
    </w:p>
    <w:p w:rsidR="004B48B5" w:rsidRPr="004B48B5" w:rsidRDefault="004B48B5" w:rsidP="004B48B5">
      <w:pPr>
        <w:spacing w:after="200" w:line="276" w:lineRule="auto"/>
        <w:ind w:right="-285"/>
        <w:jc w:val="both"/>
        <w:rPr>
          <w:rFonts w:ascii="Calibri" w:eastAsia="SimSun" w:hAnsi="Calibri"/>
          <w:color w:val="auto"/>
          <w:sz w:val="22"/>
          <w:szCs w:val="22"/>
          <w:u w:val="single"/>
          <w:lang w:eastAsia="en-GB"/>
        </w:rPr>
      </w:pPr>
      <w:r w:rsidRPr="004B48B5">
        <w:rPr>
          <w:rFonts w:ascii="Calibri" w:eastAsia="SimSun" w:hAnsi="Calibri"/>
          <w:bCs/>
          <w:iCs/>
          <w:color w:val="auto"/>
          <w:sz w:val="22"/>
          <w:szCs w:val="22"/>
          <w:u w:val="single"/>
          <w:lang w:eastAsia="en-GB"/>
        </w:rPr>
        <w:t>Comparability across countries</w:t>
      </w:r>
    </w:p>
    <w:p w:rsidR="004B48B5" w:rsidRPr="004B48B5" w:rsidRDefault="004B48B5" w:rsidP="004B48B5">
      <w:pPr>
        <w:spacing w:after="200" w:line="276" w:lineRule="auto"/>
        <w:ind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 xml:space="preserve">The national figures in the global assessments are reported by the countries themselves following standardized format, definitions and reporting years, ensuring that data is comparable across countries and regions. </w:t>
      </w:r>
    </w:p>
    <w:p w:rsidR="004B48B5" w:rsidRPr="004B48B5" w:rsidRDefault="004B48B5" w:rsidP="004B48B5">
      <w:pPr>
        <w:spacing w:after="200" w:line="276" w:lineRule="auto"/>
        <w:ind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Further, the reporting format ensures that countries provide the full reference for original data sources as well as national definitions and terminology. Separate sections in the reporting format (country reports) deal with the analysis of data (including any assumptions made and the methods used for estimates and projections to the common reporting years).</w:t>
      </w:r>
    </w:p>
    <w:p w:rsidR="004B48B5" w:rsidRPr="004B48B5" w:rsidRDefault="004B48B5" w:rsidP="004B48B5">
      <w:pPr>
        <w:spacing w:after="200" w:line="276" w:lineRule="auto"/>
        <w:ind w:right="-285"/>
        <w:jc w:val="both"/>
        <w:rPr>
          <w:rFonts w:ascii="Calibri" w:eastAsia="SimSun" w:hAnsi="Calibri"/>
          <w:color w:val="auto"/>
          <w:sz w:val="22"/>
          <w:szCs w:val="22"/>
          <w:u w:val="single"/>
          <w:lang w:eastAsia="en-GB"/>
        </w:rPr>
      </w:pPr>
      <w:r w:rsidRPr="004B48B5">
        <w:rPr>
          <w:rFonts w:ascii="Calibri" w:eastAsia="SimSun" w:hAnsi="Calibri"/>
          <w:bCs/>
          <w:iCs/>
          <w:color w:val="auto"/>
          <w:sz w:val="22"/>
          <w:szCs w:val="22"/>
          <w:u w:val="single"/>
          <w:lang w:eastAsia="en-GB"/>
        </w:rPr>
        <w:t>Sub-national estimates</w:t>
      </w:r>
      <w:r w:rsidRPr="004B48B5">
        <w:rPr>
          <w:rFonts w:ascii="Calibri" w:eastAsia="SimSun" w:hAnsi="Calibri"/>
          <w:color w:val="auto"/>
          <w:sz w:val="22"/>
          <w:szCs w:val="22"/>
          <w:u w:val="single"/>
          <w:lang w:eastAsia="en-GB"/>
        </w:rPr>
        <w:t xml:space="preserve"> </w:t>
      </w:r>
    </w:p>
    <w:p w:rsidR="004B48B5" w:rsidRPr="004B48B5" w:rsidRDefault="004B48B5" w:rsidP="004B48B5">
      <w:pPr>
        <w:spacing w:after="200" w:line="276" w:lineRule="auto"/>
        <w:ind w:right="-285"/>
        <w:jc w:val="both"/>
        <w:rPr>
          <w:rFonts w:ascii="Calibri" w:eastAsia="SimSun" w:hAnsi="Calibri"/>
          <w:color w:val="auto"/>
          <w:sz w:val="22"/>
          <w:szCs w:val="22"/>
          <w:lang w:eastAsia="en-GB"/>
        </w:rPr>
      </w:pPr>
      <w:r w:rsidRPr="004B48B5">
        <w:rPr>
          <w:rFonts w:ascii="Calibri" w:eastAsia="SimSun" w:hAnsi="Calibri"/>
          <w:color w:val="auto"/>
          <w:sz w:val="22"/>
          <w:szCs w:val="22"/>
          <w:lang w:eastAsia="en-GB"/>
        </w:rPr>
        <w:t>Currently it is not possible to compute the indicator at sub-national level.</w:t>
      </w:r>
    </w:p>
    <w:bookmarkStart w:id="1" w:name="Target15_2"/>
    <w:p w:rsidR="004B48B5" w:rsidRPr="004B48B5" w:rsidRDefault="004B48B5" w:rsidP="004B48B5">
      <w:pPr>
        <w:pageBreakBefore/>
        <w:shd w:val="clear" w:color="auto" w:fill="002060"/>
        <w:spacing w:after="200" w:line="276" w:lineRule="auto"/>
        <w:ind w:right="-285"/>
        <w:jc w:val="center"/>
        <w:outlineLvl w:val="0"/>
        <w:rPr>
          <w:rFonts w:ascii="Calibri" w:eastAsia="SimSun" w:hAnsi="Calibri"/>
          <w:b/>
          <w:color w:val="FFFFFF"/>
        </w:rPr>
      </w:pPr>
      <w:r w:rsidRPr="004B48B5">
        <w:rPr>
          <w:rFonts w:ascii="Calibri" w:eastAsia="SimSun" w:hAnsi="Calibri" w:cs="Calibri"/>
          <w:color w:val="FFFFFF"/>
          <w:szCs w:val="22"/>
        </w:rPr>
        <w:lastRenderedPageBreak/>
        <w:fldChar w:fldCharType="begin"/>
      </w:r>
      <w:r w:rsidRPr="004B48B5">
        <w:rPr>
          <w:rFonts w:ascii="Calibri" w:eastAsia="SimSun" w:hAnsi="Calibri" w:cs="Calibri"/>
          <w:color w:val="FFFFFF"/>
          <w:szCs w:val="22"/>
        </w:rPr>
        <w:instrText xml:space="preserve"> HYPERLINK \l "List_of_indicators" </w:instrText>
      </w:r>
      <w:r w:rsidRPr="004B48B5">
        <w:rPr>
          <w:rFonts w:ascii="Calibri" w:eastAsia="SimSun" w:hAnsi="Calibri" w:cs="Calibri"/>
          <w:color w:val="FFFFFF"/>
          <w:szCs w:val="22"/>
        </w:rPr>
        <w:fldChar w:fldCharType="separate"/>
      </w:r>
      <w:r w:rsidRPr="004B48B5">
        <w:rPr>
          <w:rFonts w:ascii="Calibri" w:eastAsia="SimSun" w:hAnsi="Calibri"/>
          <w:b/>
          <w:color w:val="FFFFFF"/>
          <w:u w:val="single"/>
        </w:rPr>
        <w:t>Target 15.2</w:t>
      </w:r>
      <w:r w:rsidRPr="004B48B5">
        <w:rPr>
          <w:rFonts w:ascii="Calibri" w:eastAsia="SimSun" w:hAnsi="Calibri"/>
          <w:b/>
          <w:color w:val="FFFFFF"/>
          <w:u w:val="single"/>
        </w:rPr>
        <w:fldChar w:fldCharType="end"/>
      </w:r>
      <w:r w:rsidRPr="004B48B5">
        <w:rPr>
          <w:rFonts w:ascii="Calibri" w:eastAsia="SimSun" w:hAnsi="Calibri"/>
          <w:b/>
          <w:color w:val="FFFFFF"/>
        </w:rPr>
        <w:t xml:space="preserve"> </w:t>
      </w:r>
      <w:r w:rsidRPr="004B48B5">
        <w:rPr>
          <w:rFonts w:ascii="Calibri" w:eastAsia="SimSun" w:hAnsi="Calibri"/>
          <w:b/>
          <w:color w:val="FFFFFF"/>
        </w:rPr>
        <w:br/>
      </w:r>
      <w:bookmarkEnd w:id="1"/>
      <w:r w:rsidRPr="004B48B5">
        <w:rPr>
          <w:rFonts w:ascii="Calibri" w:eastAsia="SimSun" w:hAnsi="Calibri"/>
          <w:b/>
          <w:color w:val="FFFFFF"/>
        </w:rPr>
        <w:t xml:space="preserve">“By 2020, promote the implementation of sustainable management of all types of forests, halt deforestation, </w:t>
      </w:r>
      <w:proofErr w:type="gramStart"/>
      <w:r w:rsidRPr="004B48B5">
        <w:rPr>
          <w:rFonts w:ascii="Calibri" w:eastAsia="SimSun" w:hAnsi="Calibri"/>
          <w:b/>
          <w:color w:val="FFFFFF"/>
        </w:rPr>
        <w:t>restore</w:t>
      </w:r>
      <w:proofErr w:type="gramEnd"/>
      <w:r w:rsidRPr="004B48B5">
        <w:rPr>
          <w:rFonts w:ascii="Calibri" w:eastAsia="SimSun" w:hAnsi="Calibri"/>
          <w:b/>
          <w:color w:val="FFFFFF"/>
        </w:rPr>
        <w:t xml:space="preserve"> degraded forests and increase afforestation and reforestation by [x] per cent globally”</w:t>
      </w:r>
    </w:p>
    <w:p w:rsidR="004B48B5" w:rsidRPr="004B48B5" w:rsidRDefault="004B48B5" w:rsidP="004B48B5">
      <w:pPr>
        <w:shd w:val="clear" w:color="auto" w:fill="FFFFFF"/>
        <w:spacing w:after="200" w:line="276" w:lineRule="auto"/>
        <w:ind w:right="-285"/>
        <w:jc w:val="center"/>
        <w:rPr>
          <w:rFonts w:eastAsia="SimSun" w:cs="Calibri"/>
          <w:color w:val="00000A"/>
          <w:szCs w:val="22"/>
        </w:rPr>
      </w:pPr>
    </w:p>
    <w:p w:rsidR="004B48B5" w:rsidRPr="004B48B5" w:rsidRDefault="004B48B5" w:rsidP="004B48B5">
      <w:pPr>
        <w:spacing w:line="276" w:lineRule="auto"/>
        <w:ind w:right="-285"/>
        <w:jc w:val="both"/>
        <w:rPr>
          <w:rFonts w:ascii="Calibri" w:eastAsia="Times New Roman" w:hAnsi="Calibri"/>
          <w:i/>
          <w:sz w:val="22"/>
          <w:szCs w:val="22"/>
        </w:rPr>
      </w:pPr>
      <w:bookmarkStart w:id="2" w:name="Indicator_15_2_1"/>
      <w:r w:rsidRPr="004B48B5">
        <w:rPr>
          <w:rFonts w:ascii="Calibri" w:eastAsia="Times New Roman" w:hAnsi="Calibri"/>
          <w:i/>
          <w:sz w:val="22"/>
          <w:szCs w:val="22"/>
        </w:rPr>
        <w:t>Target 15.2 touches on a range of sub-issues:</w:t>
      </w:r>
    </w:p>
    <w:p w:rsidR="004B48B5" w:rsidRPr="004B48B5" w:rsidRDefault="004B48B5" w:rsidP="004B48B5">
      <w:pPr>
        <w:spacing w:line="276" w:lineRule="auto"/>
        <w:ind w:right="-285"/>
        <w:jc w:val="both"/>
        <w:rPr>
          <w:rFonts w:ascii="Calibri" w:eastAsia="Times New Roman" w:hAnsi="Calibri"/>
          <w:i/>
          <w:sz w:val="22"/>
          <w:szCs w:val="22"/>
        </w:rPr>
      </w:pPr>
    </w:p>
    <w:p w:rsidR="004B48B5" w:rsidRPr="004B48B5" w:rsidRDefault="004B48B5" w:rsidP="004B48B5">
      <w:pPr>
        <w:spacing w:line="276" w:lineRule="auto"/>
        <w:ind w:right="-285"/>
        <w:jc w:val="both"/>
        <w:rPr>
          <w:rFonts w:ascii="Calibri" w:eastAsia="Times New Roman" w:hAnsi="Calibri"/>
          <w:i/>
          <w:sz w:val="22"/>
          <w:szCs w:val="22"/>
        </w:rPr>
      </w:pPr>
      <w:r w:rsidRPr="004B48B5">
        <w:rPr>
          <w:rFonts w:ascii="Calibri" w:eastAsia="Times New Roman" w:hAnsi="Calibri"/>
          <w:i/>
          <w:sz w:val="22"/>
          <w:szCs w:val="22"/>
        </w:rPr>
        <w:t>a)</w:t>
      </w:r>
      <w:r w:rsidRPr="004B48B5">
        <w:rPr>
          <w:rFonts w:ascii="Calibri" w:eastAsia="Times New Roman" w:hAnsi="Calibri"/>
          <w:i/>
          <w:sz w:val="22"/>
          <w:szCs w:val="22"/>
        </w:rPr>
        <w:tab/>
        <w:t>Sustainable forest management</w:t>
      </w:r>
    </w:p>
    <w:p w:rsidR="004B48B5" w:rsidRPr="004B48B5" w:rsidRDefault="004B48B5" w:rsidP="004B48B5">
      <w:pPr>
        <w:spacing w:line="276" w:lineRule="auto"/>
        <w:ind w:right="-285"/>
        <w:jc w:val="both"/>
        <w:rPr>
          <w:rFonts w:ascii="Calibri" w:eastAsia="Times New Roman" w:hAnsi="Calibri"/>
          <w:i/>
          <w:sz w:val="22"/>
          <w:szCs w:val="22"/>
        </w:rPr>
      </w:pPr>
      <w:r w:rsidRPr="004B48B5">
        <w:rPr>
          <w:rFonts w:ascii="Calibri" w:eastAsia="Times New Roman" w:hAnsi="Calibri"/>
          <w:i/>
          <w:sz w:val="22"/>
          <w:szCs w:val="22"/>
        </w:rPr>
        <w:t>b)</w:t>
      </w:r>
      <w:r w:rsidRPr="004B48B5">
        <w:rPr>
          <w:rFonts w:ascii="Calibri" w:eastAsia="Times New Roman" w:hAnsi="Calibri"/>
          <w:i/>
          <w:sz w:val="22"/>
          <w:szCs w:val="22"/>
        </w:rPr>
        <w:tab/>
        <w:t>Halt deforestation</w:t>
      </w:r>
    </w:p>
    <w:p w:rsidR="004B48B5" w:rsidRPr="004B48B5" w:rsidRDefault="004B48B5" w:rsidP="004B48B5">
      <w:pPr>
        <w:spacing w:line="276" w:lineRule="auto"/>
        <w:ind w:right="-285"/>
        <w:jc w:val="both"/>
        <w:rPr>
          <w:rFonts w:ascii="Calibri" w:eastAsia="Times New Roman" w:hAnsi="Calibri"/>
          <w:i/>
          <w:sz w:val="22"/>
          <w:szCs w:val="22"/>
        </w:rPr>
      </w:pPr>
      <w:r w:rsidRPr="004B48B5">
        <w:rPr>
          <w:rFonts w:ascii="Calibri" w:eastAsia="Times New Roman" w:hAnsi="Calibri"/>
          <w:i/>
          <w:sz w:val="22"/>
          <w:szCs w:val="22"/>
        </w:rPr>
        <w:t>c)</w:t>
      </w:r>
      <w:r w:rsidRPr="004B48B5">
        <w:rPr>
          <w:rFonts w:ascii="Calibri" w:eastAsia="Times New Roman" w:hAnsi="Calibri"/>
          <w:i/>
          <w:sz w:val="22"/>
          <w:szCs w:val="22"/>
        </w:rPr>
        <w:tab/>
        <w:t>Restore degraded forests</w:t>
      </w:r>
    </w:p>
    <w:p w:rsidR="004B48B5" w:rsidRPr="004B48B5" w:rsidRDefault="004B48B5" w:rsidP="004B48B5">
      <w:pPr>
        <w:spacing w:line="276" w:lineRule="auto"/>
        <w:ind w:right="-285"/>
        <w:jc w:val="both"/>
        <w:rPr>
          <w:rFonts w:ascii="Calibri" w:eastAsia="Times New Roman" w:hAnsi="Calibri"/>
          <w:i/>
          <w:sz w:val="22"/>
          <w:szCs w:val="22"/>
        </w:rPr>
      </w:pPr>
      <w:r w:rsidRPr="004B48B5">
        <w:rPr>
          <w:rFonts w:ascii="Calibri" w:eastAsia="Times New Roman" w:hAnsi="Calibri"/>
          <w:i/>
          <w:sz w:val="22"/>
          <w:szCs w:val="22"/>
        </w:rPr>
        <w:t>d)</w:t>
      </w:r>
      <w:r w:rsidRPr="004B48B5">
        <w:rPr>
          <w:rFonts w:ascii="Calibri" w:eastAsia="Times New Roman" w:hAnsi="Calibri"/>
          <w:i/>
          <w:sz w:val="22"/>
          <w:szCs w:val="22"/>
        </w:rPr>
        <w:tab/>
        <w:t>Increase afforestation</w:t>
      </w:r>
    </w:p>
    <w:p w:rsidR="004B48B5" w:rsidRPr="004B48B5" w:rsidRDefault="004B48B5" w:rsidP="004B48B5">
      <w:pPr>
        <w:spacing w:line="276" w:lineRule="auto"/>
        <w:ind w:right="-285"/>
        <w:jc w:val="both"/>
        <w:rPr>
          <w:rFonts w:ascii="Calibri" w:eastAsia="Times New Roman" w:hAnsi="Calibri"/>
          <w:i/>
          <w:sz w:val="22"/>
          <w:szCs w:val="22"/>
        </w:rPr>
      </w:pPr>
      <w:r w:rsidRPr="004B48B5">
        <w:rPr>
          <w:rFonts w:ascii="Calibri" w:eastAsia="Times New Roman" w:hAnsi="Calibri"/>
          <w:i/>
          <w:sz w:val="22"/>
          <w:szCs w:val="22"/>
        </w:rPr>
        <w:t>e)</w:t>
      </w:r>
      <w:r w:rsidRPr="004B48B5">
        <w:rPr>
          <w:rFonts w:ascii="Calibri" w:eastAsia="Times New Roman" w:hAnsi="Calibri"/>
          <w:i/>
          <w:sz w:val="22"/>
          <w:szCs w:val="22"/>
        </w:rPr>
        <w:tab/>
        <w:t>Increase reforestation</w:t>
      </w:r>
    </w:p>
    <w:p w:rsidR="004B48B5" w:rsidRPr="004B48B5" w:rsidRDefault="004B48B5" w:rsidP="004B48B5">
      <w:pPr>
        <w:spacing w:line="276" w:lineRule="auto"/>
        <w:ind w:right="-285"/>
        <w:jc w:val="both"/>
        <w:rPr>
          <w:rFonts w:ascii="Calibri" w:eastAsia="Times New Roman" w:hAnsi="Calibri"/>
          <w:i/>
          <w:sz w:val="22"/>
          <w:szCs w:val="22"/>
        </w:rPr>
      </w:pPr>
    </w:p>
    <w:p w:rsidR="004B48B5" w:rsidRPr="004B48B5" w:rsidRDefault="004B48B5" w:rsidP="004B48B5">
      <w:pPr>
        <w:spacing w:line="276" w:lineRule="auto"/>
        <w:ind w:right="-285"/>
        <w:jc w:val="both"/>
        <w:rPr>
          <w:rFonts w:ascii="Calibri" w:eastAsia="SimSun" w:hAnsi="Calibri" w:cs="Calibri"/>
          <w:i/>
          <w:color w:val="00000A"/>
          <w:sz w:val="22"/>
          <w:szCs w:val="22"/>
        </w:rPr>
      </w:pPr>
      <w:r w:rsidRPr="004B48B5">
        <w:rPr>
          <w:rFonts w:ascii="Calibri" w:eastAsia="Times New Roman" w:hAnsi="Calibri"/>
          <w:i/>
          <w:sz w:val="22"/>
          <w:szCs w:val="22"/>
        </w:rPr>
        <w:t>To capture all these different elements, FAO suggests two indicators: “</w:t>
      </w:r>
      <w:r w:rsidRPr="004B48B5">
        <w:rPr>
          <w:rFonts w:ascii="Calibri" w:eastAsia="SimSun" w:hAnsi="Calibri" w:cs="Calibri"/>
          <w:i/>
          <w:color w:val="00000A"/>
          <w:sz w:val="22"/>
          <w:szCs w:val="22"/>
        </w:rPr>
        <w:t>Carbon stocks in woody biomass” and “Area of forest under Sustainable Forest Management”.</w:t>
      </w:r>
    </w:p>
    <w:p w:rsidR="004B48B5" w:rsidRPr="004B48B5" w:rsidRDefault="004B48B5" w:rsidP="004B48B5">
      <w:pPr>
        <w:spacing w:line="276" w:lineRule="auto"/>
        <w:ind w:right="-285"/>
        <w:jc w:val="both"/>
        <w:rPr>
          <w:rFonts w:ascii="Calibri" w:eastAsia="SimSun" w:hAnsi="Calibri" w:cs="Calibri"/>
          <w:i/>
          <w:color w:val="00000A"/>
          <w:sz w:val="22"/>
          <w:szCs w:val="22"/>
        </w:rPr>
      </w:pPr>
    </w:p>
    <w:p w:rsidR="004B48B5" w:rsidRPr="004B48B5" w:rsidRDefault="004B48B5" w:rsidP="004B48B5">
      <w:pPr>
        <w:spacing w:line="276" w:lineRule="auto"/>
        <w:ind w:right="-285"/>
        <w:jc w:val="both"/>
        <w:rPr>
          <w:rFonts w:ascii="Calibri" w:eastAsia="Times New Roman" w:hAnsi="Calibri"/>
          <w:i/>
          <w:sz w:val="22"/>
          <w:szCs w:val="22"/>
        </w:rPr>
      </w:pPr>
      <w:r w:rsidRPr="004B48B5">
        <w:rPr>
          <w:rFonts w:ascii="Calibri" w:eastAsia="SimSun" w:hAnsi="Calibri" w:cs="Calibri"/>
          <w:i/>
          <w:color w:val="00000A"/>
          <w:sz w:val="22"/>
          <w:szCs w:val="22"/>
        </w:rPr>
        <w:t xml:space="preserve">The indicator on carbon stocks reflects both forest extent and quality, and </w:t>
      </w:r>
      <w:proofErr w:type="gramStart"/>
      <w:r w:rsidRPr="004B48B5">
        <w:rPr>
          <w:rFonts w:ascii="Calibri" w:eastAsia="SimSun" w:hAnsi="Calibri" w:cs="Calibri"/>
          <w:i/>
          <w:color w:val="00000A"/>
          <w:sz w:val="22"/>
          <w:szCs w:val="22"/>
        </w:rPr>
        <w:t>change in these stocks indicate</w:t>
      </w:r>
      <w:proofErr w:type="gramEnd"/>
      <w:r w:rsidRPr="004B48B5">
        <w:rPr>
          <w:rFonts w:ascii="Calibri" w:eastAsia="SimSun" w:hAnsi="Calibri" w:cs="Calibri"/>
          <w:i/>
          <w:color w:val="00000A"/>
          <w:sz w:val="22"/>
          <w:szCs w:val="22"/>
        </w:rPr>
        <w:t xml:space="preserve"> changes relevant to trends related to production and conservation. Thus it is </w:t>
      </w:r>
      <w:r w:rsidRPr="004B48B5">
        <w:rPr>
          <w:rFonts w:ascii="Calibri" w:eastAsia="Times New Roman" w:hAnsi="Calibri"/>
          <w:i/>
          <w:sz w:val="22"/>
          <w:szCs w:val="22"/>
        </w:rPr>
        <w:t xml:space="preserve">clearly linked to elements b) and also captures to a considerable extent elements c), d) and e). However, it only indirectly captures element a). </w:t>
      </w:r>
    </w:p>
    <w:p w:rsidR="004B48B5" w:rsidRPr="004B48B5" w:rsidRDefault="004B48B5" w:rsidP="004B48B5">
      <w:pPr>
        <w:spacing w:line="276" w:lineRule="auto"/>
        <w:ind w:right="-285"/>
        <w:jc w:val="both"/>
        <w:rPr>
          <w:rFonts w:ascii="Calibri" w:eastAsia="Times New Roman" w:hAnsi="Calibri"/>
          <w:i/>
          <w:sz w:val="22"/>
          <w:szCs w:val="22"/>
        </w:rPr>
      </w:pPr>
    </w:p>
    <w:p w:rsidR="004B48B5" w:rsidRPr="004B48B5" w:rsidRDefault="004B48B5" w:rsidP="004B48B5">
      <w:pPr>
        <w:spacing w:line="276" w:lineRule="auto"/>
        <w:ind w:right="-285"/>
        <w:jc w:val="both"/>
        <w:rPr>
          <w:rFonts w:ascii="Calibri" w:eastAsia="Times New Roman" w:hAnsi="Calibri"/>
          <w:i/>
          <w:sz w:val="22"/>
          <w:szCs w:val="22"/>
        </w:rPr>
      </w:pPr>
      <w:r w:rsidRPr="004B48B5">
        <w:rPr>
          <w:rFonts w:ascii="Calibri" w:eastAsia="Times New Roman" w:hAnsi="Calibri"/>
          <w:i/>
          <w:sz w:val="22"/>
          <w:szCs w:val="22"/>
        </w:rPr>
        <w:t>The second proposed indicator directly tackles element a) that otherwise would be not measured at all or very indirectly.</w:t>
      </w:r>
      <w:r w:rsidRPr="004B48B5">
        <w:rPr>
          <w:rFonts w:ascii="Calibri" w:eastAsia="SimSun" w:hAnsi="Calibri" w:cs="Calibri"/>
          <w:i/>
          <w:color w:val="00000A"/>
          <w:sz w:val="22"/>
          <w:szCs w:val="22"/>
        </w:rPr>
        <w:t xml:space="preserve"> “Area of forest under Sustainable Forest Management” is an index that determines the </w:t>
      </w:r>
      <w:r w:rsidRPr="004B48B5">
        <w:rPr>
          <w:rFonts w:ascii="Calibri" w:eastAsia="Times New Roman" w:hAnsi="Calibri"/>
          <w:i/>
          <w:sz w:val="22"/>
          <w:szCs w:val="22"/>
        </w:rPr>
        <w:t>area of permanent forest use as modified by the presence of: A) Policies and legislation supporting SFM; B) A national stakeholder platform for input to forest policy; C) National forest inventory data; D) National forest reporting; E) Forest management plans that include soil and water conservation, high conservation value forest and social engagement, and; F) Stakeholder involvement in operational planning, operations and review.</w:t>
      </w:r>
    </w:p>
    <w:p w:rsidR="004B48B5" w:rsidRPr="004B48B5" w:rsidRDefault="004B48B5" w:rsidP="004B48B5">
      <w:pPr>
        <w:spacing w:line="276" w:lineRule="auto"/>
        <w:ind w:right="-285"/>
        <w:jc w:val="both"/>
        <w:rPr>
          <w:rFonts w:ascii="Calibri" w:eastAsia="Times New Roman" w:hAnsi="Calibri"/>
          <w:i/>
          <w:sz w:val="22"/>
          <w:szCs w:val="22"/>
        </w:rPr>
      </w:pPr>
    </w:p>
    <w:p w:rsidR="004B48B5" w:rsidRPr="004B48B5" w:rsidRDefault="004B48B5" w:rsidP="004B48B5">
      <w:pPr>
        <w:shd w:val="clear" w:color="auto" w:fill="FFFFFF"/>
        <w:tabs>
          <w:tab w:val="left" w:pos="0"/>
        </w:tabs>
        <w:suppressAutoHyphens/>
        <w:spacing w:after="200" w:line="264" w:lineRule="auto"/>
        <w:ind w:right="-284"/>
        <w:jc w:val="both"/>
        <w:rPr>
          <w:rFonts w:ascii="Calibri" w:eastAsia="SimSun" w:hAnsi="Calibri"/>
          <w:i/>
          <w:color w:val="00000A"/>
          <w:sz w:val="22"/>
        </w:rPr>
      </w:pPr>
      <w:r w:rsidRPr="004B48B5">
        <w:rPr>
          <w:rFonts w:ascii="Calibri" w:eastAsia="SimSun" w:hAnsi="Calibri"/>
          <w:i/>
          <w:color w:val="00000A"/>
          <w:sz w:val="22"/>
        </w:rPr>
        <w:t xml:space="preserve">FAO is highly concerned that UNSD’s priority list of May determined only one indicator for this target, down from two in its February list. As described above, target 15.2 includes a variety of elements that cannot be subsumed under one sole indicator, and there is no objective reason to assume a prioritization between them so as to guide the selection of indicator. </w:t>
      </w:r>
      <w:proofErr w:type="gramStart"/>
      <w:r w:rsidRPr="004B48B5">
        <w:rPr>
          <w:rFonts w:ascii="Calibri" w:eastAsia="SimSun" w:hAnsi="Calibri"/>
          <w:i/>
          <w:color w:val="00000A"/>
          <w:sz w:val="22"/>
        </w:rPr>
        <w:t>As such, selecting only one indicator risks undermining the ambition of the SDG agenda by constraining the intended scope of its targets.</w:t>
      </w:r>
      <w:proofErr w:type="gramEnd"/>
    </w:p>
    <w:p w:rsidR="004B48B5" w:rsidRPr="004B48B5" w:rsidRDefault="004B48B5" w:rsidP="004B48B5">
      <w:pPr>
        <w:spacing w:line="276" w:lineRule="auto"/>
        <w:ind w:right="-285"/>
        <w:jc w:val="both"/>
        <w:rPr>
          <w:rFonts w:eastAsia="SimSun" w:cs="Calibri"/>
          <w:i/>
          <w:color w:val="00000A"/>
          <w:szCs w:val="22"/>
        </w:rPr>
      </w:pPr>
      <w:r w:rsidRPr="004B48B5">
        <w:rPr>
          <w:rFonts w:ascii="Calibri" w:eastAsia="Times New Roman" w:hAnsi="Calibri"/>
          <w:i/>
          <w:sz w:val="22"/>
          <w:szCs w:val="22"/>
        </w:rPr>
        <w:t xml:space="preserve">Finally, whilst “Area of forest under Sustainable Forest Management” is proposed as an indicator for target 15.2, it also comprises one of two components of the core indicator for target 15.3, “Area of land under sustainable management”, which is thus constructed as an aggregation of the Sustainable Forest Management indicator for target 15.2 and the core indicator for target 2.4, “Agricultural area under sustainable agricultural practices”. </w:t>
      </w:r>
      <w:r w:rsidRPr="004B48B5">
        <w:rPr>
          <w:rFonts w:eastAsia="SimSun" w:cs="Calibri"/>
          <w:i/>
          <w:color w:val="00000A"/>
          <w:szCs w:val="22"/>
        </w:rPr>
        <w:br w:type="page"/>
      </w:r>
    </w:p>
    <w:p w:rsidR="004B48B5" w:rsidRPr="004B48B5" w:rsidRDefault="004B48B5" w:rsidP="004B48B5">
      <w:pPr>
        <w:shd w:val="clear" w:color="auto" w:fill="99FF99"/>
        <w:spacing w:after="200" w:line="276" w:lineRule="auto"/>
        <w:ind w:right="-285"/>
        <w:jc w:val="center"/>
        <w:rPr>
          <w:rFonts w:ascii="Calibri" w:eastAsia="SimSun" w:hAnsi="Calibri"/>
          <w:b/>
          <w:color w:val="auto"/>
        </w:rPr>
      </w:pPr>
      <w:hyperlink w:anchor="List_of_indicators" w:history="1">
        <w:r w:rsidRPr="004B48B5">
          <w:rPr>
            <w:rFonts w:ascii="Calibri" w:eastAsia="SimSun" w:hAnsi="Calibri"/>
            <w:b/>
            <w:color w:val="auto"/>
          </w:rPr>
          <w:t>Indicator 15.2.1</w:t>
        </w:r>
      </w:hyperlink>
      <w:r w:rsidRPr="004B48B5">
        <w:rPr>
          <w:rFonts w:ascii="Calibri" w:eastAsia="SimSun" w:hAnsi="Calibri"/>
          <w:b/>
          <w:color w:val="auto"/>
        </w:rPr>
        <w:t xml:space="preserve"> </w:t>
      </w:r>
      <w:bookmarkEnd w:id="2"/>
      <w:r w:rsidRPr="004B48B5">
        <w:rPr>
          <w:rFonts w:ascii="Calibri" w:eastAsia="SimSun" w:hAnsi="Calibri"/>
          <w:b/>
          <w:color w:val="auto"/>
        </w:rPr>
        <w:t>(Core</w:t>
      </w:r>
      <w:proofErr w:type="gramStart"/>
      <w:r w:rsidRPr="004B48B5">
        <w:rPr>
          <w:rFonts w:ascii="Calibri" w:eastAsia="SimSun" w:hAnsi="Calibri"/>
          <w:b/>
          <w:color w:val="auto"/>
        </w:rPr>
        <w:t>)</w:t>
      </w:r>
      <w:proofErr w:type="gramEnd"/>
      <w:r w:rsidRPr="004B48B5">
        <w:rPr>
          <w:rFonts w:ascii="Calibri" w:eastAsia="SimSun" w:hAnsi="Calibri"/>
          <w:b/>
          <w:color w:val="auto"/>
        </w:rPr>
        <w:br/>
        <w:t>“</w:t>
      </w:r>
      <w:r w:rsidRPr="004B48B5">
        <w:rPr>
          <w:rFonts w:ascii="Calibri" w:eastAsia="SimSun" w:hAnsi="Calibri"/>
          <w:color w:val="auto"/>
        </w:rPr>
        <w:t>Carbon stock in woody biomass</w:t>
      </w:r>
      <w:r w:rsidRPr="004B48B5">
        <w:rPr>
          <w:rFonts w:ascii="Calibri" w:eastAsia="SimSun" w:hAnsi="Calibri"/>
          <w:b/>
          <w:color w:val="auto"/>
        </w:rPr>
        <w:t>”</w:t>
      </w:r>
    </w:p>
    <w:p w:rsidR="004B48B5" w:rsidRPr="004B48B5" w:rsidRDefault="004B48B5" w:rsidP="004B48B5">
      <w:pPr>
        <w:keepNext/>
        <w:numPr>
          <w:ilvl w:val="0"/>
          <w:numId w:val="10"/>
        </w:numPr>
        <w:suppressAutoHyphens/>
        <w:spacing w:after="200" w:line="276" w:lineRule="auto"/>
        <w:ind w:right="-285"/>
        <w:jc w:val="both"/>
        <w:outlineLvl w:val="2"/>
        <w:rPr>
          <w:rFonts w:ascii="Calibri" w:eastAsia="Times New Roman" w:hAnsi="Calibri"/>
          <w:b/>
          <w:bCs/>
          <w:color w:val="auto"/>
          <w:sz w:val="22"/>
          <w:szCs w:val="22"/>
        </w:rPr>
      </w:pPr>
      <w:r w:rsidRPr="004B48B5">
        <w:rPr>
          <w:rFonts w:ascii="Calibri" w:eastAsia="Times New Roman" w:hAnsi="Calibri"/>
          <w:b/>
          <w:bCs/>
          <w:color w:val="auto"/>
          <w:sz w:val="22"/>
          <w:szCs w:val="22"/>
        </w:rPr>
        <w:t xml:space="preserve">What is the </w:t>
      </w:r>
      <w:r w:rsidRPr="004B48B5">
        <w:rPr>
          <w:rFonts w:ascii="Calibri" w:eastAsia="Times New Roman" w:hAnsi="Calibri"/>
          <w:b/>
          <w:bCs/>
          <w:i/>
          <w:iCs/>
          <w:color w:val="auto"/>
          <w:sz w:val="22"/>
          <w:szCs w:val="22"/>
        </w:rPr>
        <w:t>precise</w:t>
      </w:r>
      <w:r w:rsidRPr="004B48B5">
        <w:rPr>
          <w:rFonts w:ascii="Calibri" w:eastAsia="Times New Roman" w:hAnsi="Calibri"/>
          <w:b/>
          <w:bCs/>
          <w:color w:val="auto"/>
          <w:sz w:val="22"/>
          <w:szCs w:val="22"/>
        </w:rPr>
        <w:t xml:space="preserve"> definition of the indicator?</w:t>
      </w:r>
    </w:p>
    <w:p w:rsidR="004B48B5" w:rsidRPr="004B48B5" w:rsidRDefault="004B48B5" w:rsidP="004B48B5">
      <w:pPr>
        <w:suppressAutoHyphens/>
        <w:spacing w:after="200" w:line="276" w:lineRule="auto"/>
        <w:ind w:right="-285"/>
        <w:jc w:val="both"/>
        <w:rPr>
          <w:rFonts w:ascii="Calibri" w:eastAsia="SimSun" w:hAnsi="Calibri" w:cs="Calibri"/>
          <w:color w:val="00000A"/>
          <w:sz w:val="22"/>
          <w:szCs w:val="22"/>
        </w:rPr>
      </w:pPr>
      <w:r w:rsidRPr="004B48B5">
        <w:rPr>
          <w:rFonts w:ascii="Calibri" w:eastAsia="SimSun" w:hAnsi="Calibri" w:cs="Calibri"/>
          <w:color w:val="00000A"/>
          <w:sz w:val="22"/>
          <w:szCs w:val="22"/>
        </w:rPr>
        <w:t>Carbon stock in woody biomass is defined as carbon in living woody biomass, including stem, stump, branches, bark, seeds and foliage (http://www.fao.org/forestry/fra/83059/en/). The unit for this indicator is Mg C per ha.</w:t>
      </w:r>
    </w:p>
    <w:p w:rsidR="004B48B5" w:rsidRPr="004B48B5" w:rsidRDefault="004B48B5" w:rsidP="004B48B5">
      <w:pPr>
        <w:numPr>
          <w:ilvl w:val="0"/>
          <w:numId w:val="2"/>
        </w:numPr>
        <w:suppressAutoHyphens/>
        <w:spacing w:after="200" w:line="276" w:lineRule="auto"/>
        <w:ind w:right="-285"/>
        <w:jc w:val="both"/>
        <w:rPr>
          <w:rFonts w:ascii="Calibri" w:eastAsia="Times New Roman" w:hAnsi="Calibri" w:cs="Calibri"/>
          <w:b/>
          <w:bCs/>
          <w:color w:val="00000A"/>
          <w:sz w:val="22"/>
          <w:szCs w:val="22"/>
        </w:rPr>
      </w:pPr>
      <w:r w:rsidRPr="004B48B5">
        <w:rPr>
          <w:rFonts w:ascii="Calibri" w:eastAsia="Times New Roman" w:hAnsi="Calibri" w:cs="Calibri"/>
          <w:b/>
          <w:bCs/>
          <w:color w:val="00000A"/>
          <w:sz w:val="22"/>
          <w:szCs w:val="22"/>
        </w:rPr>
        <w:t>How is the indicator linked to the specific TARGET as worded in the OWG Report?</w:t>
      </w:r>
    </w:p>
    <w:p w:rsidR="004B48B5" w:rsidRPr="004B48B5" w:rsidRDefault="004B48B5" w:rsidP="004B48B5">
      <w:pPr>
        <w:suppressAutoHyphens/>
        <w:autoSpaceDE w:val="0"/>
        <w:autoSpaceDN w:val="0"/>
        <w:adjustRightInd w:val="0"/>
        <w:spacing w:after="200" w:line="276" w:lineRule="auto"/>
        <w:ind w:right="-285"/>
        <w:jc w:val="both"/>
        <w:rPr>
          <w:rFonts w:ascii="Calibri" w:eastAsia="SimSun" w:hAnsi="Calibri" w:cs="Calibri"/>
          <w:color w:val="00000A"/>
          <w:sz w:val="22"/>
          <w:szCs w:val="22"/>
        </w:rPr>
      </w:pPr>
      <w:r w:rsidRPr="004B48B5">
        <w:rPr>
          <w:rFonts w:ascii="Calibri" w:eastAsia="SimSun" w:hAnsi="Calibri" w:cs="Calibri"/>
          <w:color w:val="00000A"/>
          <w:sz w:val="22"/>
          <w:szCs w:val="22"/>
        </w:rPr>
        <w:t xml:space="preserve">Forests fulfil a number of functions that are vital for humanity, including the provision of goods (wood and non-wood forest products) and services such as habitat for biodiversity, carbon sequestration, coastal protection and soil and water conservation. </w:t>
      </w:r>
    </w:p>
    <w:p w:rsidR="004B48B5" w:rsidRPr="004B48B5" w:rsidRDefault="004B48B5" w:rsidP="004B48B5">
      <w:pPr>
        <w:suppressAutoHyphens/>
        <w:autoSpaceDE w:val="0"/>
        <w:autoSpaceDN w:val="0"/>
        <w:adjustRightInd w:val="0"/>
        <w:spacing w:after="200" w:line="276" w:lineRule="auto"/>
        <w:ind w:right="-285"/>
        <w:jc w:val="both"/>
        <w:rPr>
          <w:rFonts w:ascii="Calibri" w:eastAsia="SimSun" w:hAnsi="Calibri" w:cs="Calibri"/>
          <w:color w:val="00000A"/>
          <w:sz w:val="22"/>
          <w:szCs w:val="22"/>
        </w:rPr>
      </w:pPr>
      <w:r w:rsidRPr="004B48B5">
        <w:rPr>
          <w:rFonts w:ascii="Calibri" w:eastAsia="SimSun" w:hAnsi="Calibri" w:cs="Calibri"/>
          <w:color w:val="00000A"/>
          <w:sz w:val="22"/>
          <w:szCs w:val="22"/>
        </w:rPr>
        <w:t xml:space="preserve">Carbon stocks in woody biomass reflect both forest extent and quality, and change in these stocks indicate changes relevant not only to greenhouse gas emissions but also trends related to production, conservation and management.  The implementation of sustainable forest management, a reduction of deforestation, an increase in restored forest and increased afforestation are all directly linked to increased biomass carbon stocks - as success is achieved in each of these areas, biomass carbon stocks should remain stable or increase.  The reforestation component is not well reflected in that presumably older forest is replaced by younger forest in the process of reforestation.  Amongst readily available indicators, this would therefore be the most relevant for measuring SDG target 15.2 focusing on the sustainable management on forests. </w:t>
      </w:r>
    </w:p>
    <w:p w:rsidR="004B48B5" w:rsidRPr="004B48B5" w:rsidRDefault="004B48B5" w:rsidP="004B48B5">
      <w:pPr>
        <w:keepNext/>
        <w:numPr>
          <w:ilvl w:val="0"/>
          <w:numId w:val="2"/>
        </w:numPr>
        <w:suppressAutoHyphens/>
        <w:autoSpaceDE w:val="0"/>
        <w:autoSpaceDN w:val="0"/>
        <w:adjustRightInd w:val="0"/>
        <w:spacing w:after="200" w:line="276" w:lineRule="auto"/>
        <w:ind w:right="-285"/>
        <w:jc w:val="both"/>
        <w:outlineLvl w:val="2"/>
        <w:rPr>
          <w:rFonts w:ascii="Calibri" w:eastAsia="Times New Roman" w:hAnsi="Calibri"/>
          <w:b/>
          <w:bCs/>
          <w:color w:val="auto"/>
          <w:sz w:val="22"/>
          <w:szCs w:val="22"/>
        </w:rPr>
      </w:pPr>
      <w:r w:rsidRPr="004B48B5">
        <w:rPr>
          <w:rFonts w:ascii="Calibri" w:eastAsia="Times New Roman" w:hAnsi="Calibri"/>
          <w:b/>
          <w:bCs/>
          <w:color w:val="auto"/>
          <w:sz w:val="22"/>
          <w:szCs w:val="22"/>
        </w:rPr>
        <w:t>Does the indicator already exist and is it regularly reported?</w:t>
      </w:r>
    </w:p>
    <w:p w:rsidR="004B48B5" w:rsidRPr="004B48B5" w:rsidRDefault="004B48B5" w:rsidP="004B48B5">
      <w:pPr>
        <w:suppressAutoHyphens/>
        <w:spacing w:after="200" w:line="276" w:lineRule="auto"/>
        <w:ind w:right="-285"/>
        <w:jc w:val="both"/>
        <w:rPr>
          <w:rFonts w:ascii="Calibri" w:eastAsia="Times New Roman" w:hAnsi="Calibri" w:cs="Calibri"/>
          <w:bCs/>
          <w:color w:val="00000A"/>
          <w:sz w:val="22"/>
          <w:szCs w:val="22"/>
        </w:rPr>
      </w:pPr>
      <w:r w:rsidRPr="004B48B5">
        <w:rPr>
          <w:rFonts w:ascii="Calibri" w:eastAsia="Times New Roman" w:hAnsi="Calibri" w:cs="Calibri"/>
          <w:bCs/>
          <w:color w:val="00000A"/>
          <w:sz w:val="22"/>
          <w:szCs w:val="22"/>
        </w:rPr>
        <w:t xml:space="preserve">The indicator exists and is maintained by the FAO Forestry Department, through the Global Forest Resources Assessment which produces global assessments every five years. FRA 2015 provides carbon stocks in woody biomass for the years 1990, 2000, 2005, 2010 and 2015. </w:t>
      </w:r>
    </w:p>
    <w:p w:rsidR="004B48B5" w:rsidRPr="004B48B5" w:rsidRDefault="004B48B5" w:rsidP="004B48B5">
      <w:pPr>
        <w:suppressAutoHyphens/>
        <w:spacing w:after="200" w:line="276" w:lineRule="auto"/>
        <w:ind w:left="709" w:right="-285" w:hanging="425"/>
        <w:jc w:val="both"/>
        <w:rPr>
          <w:rFonts w:ascii="Calibri" w:eastAsia="Times New Roman" w:hAnsi="Calibri" w:cs="Calibri"/>
          <w:b/>
          <w:bCs/>
          <w:color w:val="00000A"/>
          <w:sz w:val="22"/>
          <w:szCs w:val="22"/>
        </w:rPr>
      </w:pPr>
      <w:r w:rsidRPr="004B48B5">
        <w:rPr>
          <w:rFonts w:ascii="Calibri" w:eastAsia="Times New Roman" w:hAnsi="Calibri" w:cs="Calibri"/>
          <w:b/>
          <w:bCs/>
          <w:color w:val="00000A"/>
          <w:sz w:val="22"/>
          <w:szCs w:val="22"/>
        </w:rPr>
        <w:t>4.</w:t>
      </w:r>
      <w:r w:rsidRPr="004B48B5">
        <w:rPr>
          <w:rFonts w:ascii="Calibri" w:eastAsia="Times New Roman" w:hAnsi="Calibri" w:cs="Calibri"/>
          <w:b/>
          <w:bCs/>
          <w:color w:val="00000A"/>
          <w:sz w:val="22"/>
          <w:szCs w:val="22"/>
        </w:rPr>
        <w:tab/>
        <w:t>Comment on the reliability, potential coverage, comparability across countries, and the possibility to compute the indicator at sub-national level.</w:t>
      </w:r>
    </w:p>
    <w:p w:rsidR="004B48B5" w:rsidRPr="004B48B5" w:rsidRDefault="004B48B5" w:rsidP="004B48B5">
      <w:pPr>
        <w:suppressAutoHyphens/>
        <w:spacing w:after="200" w:line="276" w:lineRule="auto"/>
        <w:ind w:right="-285"/>
        <w:jc w:val="both"/>
        <w:rPr>
          <w:rFonts w:ascii="Calibri" w:eastAsia="SimSun" w:hAnsi="Calibri" w:cs="Calibri"/>
          <w:bCs/>
          <w:iCs/>
          <w:color w:val="00000A"/>
          <w:sz w:val="22"/>
          <w:szCs w:val="22"/>
          <w:u w:val="single"/>
        </w:rPr>
      </w:pPr>
      <w:r w:rsidRPr="004B48B5">
        <w:rPr>
          <w:rFonts w:ascii="Calibri" w:eastAsia="SimSun" w:hAnsi="Calibri" w:cs="Calibri"/>
          <w:bCs/>
          <w:iCs/>
          <w:color w:val="00000A"/>
          <w:sz w:val="22"/>
          <w:szCs w:val="22"/>
          <w:u w:val="single"/>
        </w:rPr>
        <w:t>Reliability</w:t>
      </w:r>
    </w:p>
    <w:p w:rsidR="004B48B5" w:rsidRPr="004B48B5" w:rsidRDefault="004B48B5" w:rsidP="004B48B5">
      <w:pPr>
        <w:suppressAutoHyphens/>
        <w:spacing w:after="200" w:line="276" w:lineRule="auto"/>
        <w:ind w:right="-285"/>
        <w:jc w:val="both"/>
        <w:rPr>
          <w:rFonts w:ascii="Calibri" w:eastAsia="SimSun" w:hAnsi="Calibri" w:cs="Calibri"/>
          <w:color w:val="00000A"/>
          <w:sz w:val="22"/>
          <w:szCs w:val="22"/>
        </w:rPr>
      </w:pPr>
      <w:r w:rsidRPr="004B48B5">
        <w:rPr>
          <w:rFonts w:ascii="Calibri" w:eastAsia="SimSun" w:hAnsi="Calibri" w:cs="Calibri"/>
          <w:color w:val="00000A"/>
          <w:sz w:val="22"/>
          <w:szCs w:val="22"/>
        </w:rPr>
        <w:t>Countries assigned quality levels for this indicator as Tiers where Tier 3 is the most recent (less than 10 years) National Forest Inventory (NFI). Tier 2 data are based on older sources (more than 10 years) NFI or full coverage mapping/remote sensing. Core comes from other data sources, including expert estimates.</w:t>
      </w:r>
    </w:p>
    <w:p w:rsidR="004B48B5" w:rsidRPr="004B48B5" w:rsidRDefault="004B48B5" w:rsidP="004B48B5">
      <w:pPr>
        <w:suppressAutoHyphens/>
        <w:spacing w:after="200" w:line="276" w:lineRule="auto"/>
        <w:ind w:right="-285"/>
        <w:jc w:val="both"/>
        <w:rPr>
          <w:rFonts w:ascii="Calibri" w:eastAsia="SimSun" w:hAnsi="Calibri" w:cs="Calibri"/>
          <w:color w:val="00000A"/>
          <w:sz w:val="22"/>
          <w:szCs w:val="22"/>
          <w:u w:val="single"/>
        </w:rPr>
      </w:pPr>
      <w:r w:rsidRPr="004B48B5">
        <w:rPr>
          <w:rFonts w:ascii="Calibri" w:eastAsia="SimSun" w:hAnsi="Calibri" w:cs="Calibri"/>
          <w:bCs/>
          <w:iCs/>
          <w:color w:val="00000A"/>
          <w:sz w:val="22"/>
          <w:szCs w:val="22"/>
          <w:u w:val="single"/>
        </w:rPr>
        <w:t>Coverage</w:t>
      </w:r>
    </w:p>
    <w:p w:rsidR="004B48B5" w:rsidRPr="004B48B5" w:rsidRDefault="004B48B5" w:rsidP="004B48B5">
      <w:pPr>
        <w:suppressAutoHyphens/>
        <w:spacing w:after="200" w:line="276" w:lineRule="auto"/>
        <w:ind w:right="-285"/>
        <w:jc w:val="both"/>
        <w:rPr>
          <w:rFonts w:ascii="Calibri" w:eastAsia="SimSun" w:hAnsi="Calibri" w:cs="Calibri"/>
          <w:color w:val="00000A"/>
          <w:sz w:val="22"/>
          <w:szCs w:val="22"/>
        </w:rPr>
      </w:pPr>
      <w:r w:rsidRPr="004B48B5">
        <w:rPr>
          <w:rFonts w:ascii="Calibri" w:eastAsia="SimSun" w:hAnsi="Calibri" w:cs="Calibri"/>
          <w:color w:val="00000A"/>
          <w:sz w:val="22"/>
          <w:szCs w:val="22"/>
        </w:rPr>
        <w:t>FAO carries out global forest resources assessments at 5 year intervals.  The indicator is aggregated to the national scale.</w:t>
      </w:r>
    </w:p>
    <w:p w:rsidR="004B48B5" w:rsidRPr="004B48B5" w:rsidRDefault="004B48B5" w:rsidP="004B48B5">
      <w:pPr>
        <w:widowControl w:val="0"/>
        <w:suppressAutoHyphens/>
        <w:autoSpaceDE w:val="0"/>
        <w:autoSpaceDN w:val="0"/>
        <w:adjustRightInd w:val="0"/>
        <w:spacing w:after="260" w:line="276" w:lineRule="auto"/>
        <w:ind w:right="-285"/>
        <w:jc w:val="both"/>
        <w:rPr>
          <w:rFonts w:ascii="Calibri" w:eastAsia="SimSun" w:hAnsi="Calibri" w:cs="Calibri"/>
          <w:bCs/>
          <w:iCs/>
          <w:color w:val="00000A"/>
          <w:sz w:val="22"/>
          <w:szCs w:val="22"/>
          <w:u w:val="single"/>
        </w:rPr>
      </w:pPr>
      <w:r w:rsidRPr="004B48B5">
        <w:rPr>
          <w:rFonts w:ascii="Calibri" w:eastAsia="SimSun" w:hAnsi="Calibri" w:cs="Calibri"/>
          <w:bCs/>
          <w:iCs/>
          <w:color w:val="00000A"/>
          <w:sz w:val="22"/>
          <w:szCs w:val="22"/>
          <w:u w:val="single"/>
        </w:rPr>
        <w:t>Comparability across countries</w:t>
      </w:r>
    </w:p>
    <w:p w:rsidR="004B48B5" w:rsidRPr="004B48B5" w:rsidRDefault="004B48B5" w:rsidP="004B48B5">
      <w:pPr>
        <w:widowControl w:val="0"/>
        <w:suppressAutoHyphens/>
        <w:autoSpaceDE w:val="0"/>
        <w:autoSpaceDN w:val="0"/>
        <w:adjustRightInd w:val="0"/>
        <w:spacing w:after="260" w:line="276" w:lineRule="auto"/>
        <w:ind w:right="-285"/>
        <w:jc w:val="both"/>
        <w:rPr>
          <w:rFonts w:ascii="Calibri" w:eastAsia="SimSun" w:hAnsi="Calibri" w:cs="Calibri"/>
          <w:color w:val="00000A"/>
          <w:sz w:val="22"/>
          <w:szCs w:val="22"/>
          <w:u w:color="333333"/>
        </w:rPr>
      </w:pPr>
      <w:r w:rsidRPr="004B48B5">
        <w:rPr>
          <w:rFonts w:ascii="Calibri" w:eastAsia="SimSun" w:hAnsi="Calibri" w:cs="Calibri"/>
          <w:color w:val="00000A"/>
          <w:sz w:val="22"/>
          <w:szCs w:val="22"/>
        </w:rPr>
        <w:t xml:space="preserve"> </w:t>
      </w:r>
      <w:r w:rsidRPr="004B48B5">
        <w:rPr>
          <w:rFonts w:ascii="Calibri" w:eastAsia="SimSun" w:hAnsi="Calibri" w:cs="Calibri"/>
          <w:color w:val="00000A"/>
          <w:sz w:val="22"/>
          <w:szCs w:val="22"/>
          <w:u w:color="333333"/>
        </w:rPr>
        <w:t xml:space="preserve">The national figures in the global assessments are reported </w:t>
      </w:r>
      <w:proofErr w:type="gramStart"/>
      <w:r w:rsidRPr="004B48B5">
        <w:rPr>
          <w:rFonts w:ascii="Calibri" w:eastAsia="SimSun" w:hAnsi="Calibri" w:cs="Calibri"/>
          <w:color w:val="00000A"/>
          <w:sz w:val="22"/>
          <w:szCs w:val="22"/>
          <w:u w:color="333333"/>
        </w:rPr>
        <w:t>by  countries</w:t>
      </w:r>
      <w:proofErr w:type="gramEnd"/>
      <w:r w:rsidRPr="004B48B5">
        <w:rPr>
          <w:rFonts w:ascii="Calibri" w:eastAsia="SimSun" w:hAnsi="Calibri" w:cs="Calibri"/>
          <w:color w:val="00000A"/>
          <w:sz w:val="22"/>
          <w:szCs w:val="22"/>
          <w:u w:color="333333"/>
        </w:rPr>
        <w:t xml:space="preserve"> following a standardized format, definitions and reporting years to provide a means of comparability across countries. </w:t>
      </w:r>
    </w:p>
    <w:p w:rsidR="004B48B5" w:rsidRPr="004B48B5" w:rsidRDefault="004B48B5" w:rsidP="004B48B5">
      <w:pPr>
        <w:suppressAutoHyphens/>
        <w:spacing w:after="200" w:line="276" w:lineRule="auto"/>
        <w:ind w:right="-285"/>
        <w:jc w:val="both"/>
        <w:rPr>
          <w:rFonts w:ascii="Calibri" w:eastAsia="SimSun" w:hAnsi="Calibri" w:cs="Calibri"/>
          <w:color w:val="00000A"/>
          <w:sz w:val="22"/>
          <w:szCs w:val="22"/>
          <w:u w:val="single"/>
        </w:rPr>
      </w:pPr>
      <w:r w:rsidRPr="004B48B5">
        <w:rPr>
          <w:rFonts w:ascii="Calibri" w:eastAsia="SimSun" w:hAnsi="Calibri" w:cs="Calibri"/>
          <w:bCs/>
          <w:iCs/>
          <w:color w:val="00000A"/>
          <w:sz w:val="22"/>
          <w:szCs w:val="22"/>
          <w:u w:val="single"/>
        </w:rPr>
        <w:lastRenderedPageBreak/>
        <w:t>Sub-national estimates</w:t>
      </w:r>
      <w:r w:rsidRPr="004B48B5">
        <w:rPr>
          <w:rFonts w:ascii="Calibri" w:eastAsia="SimSun" w:hAnsi="Calibri" w:cs="Calibri"/>
          <w:color w:val="00000A"/>
          <w:sz w:val="22"/>
          <w:szCs w:val="22"/>
          <w:u w:val="single"/>
        </w:rPr>
        <w:t xml:space="preserve"> </w:t>
      </w:r>
    </w:p>
    <w:p w:rsidR="004B48B5" w:rsidRPr="004B48B5" w:rsidRDefault="004B48B5" w:rsidP="004B48B5">
      <w:pPr>
        <w:suppressAutoHyphens/>
        <w:spacing w:after="200" w:line="276" w:lineRule="auto"/>
        <w:ind w:right="-285"/>
        <w:jc w:val="both"/>
        <w:rPr>
          <w:rFonts w:ascii="Calibri" w:eastAsia="SimSun" w:hAnsi="Calibri" w:cs="Calibri"/>
          <w:color w:val="00000A"/>
          <w:sz w:val="22"/>
          <w:szCs w:val="22"/>
        </w:rPr>
      </w:pPr>
      <w:r w:rsidRPr="004B48B5">
        <w:rPr>
          <w:rFonts w:ascii="Calibri" w:eastAsia="SimSun" w:hAnsi="Calibri" w:cs="Calibri"/>
          <w:color w:val="00000A"/>
          <w:sz w:val="22"/>
          <w:szCs w:val="22"/>
        </w:rPr>
        <w:t>Currently it is not possible to compute the indicator at sub-national level.</w:t>
      </w:r>
    </w:p>
    <w:p w:rsidR="004B48B5" w:rsidRPr="004B48B5" w:rsidRDefault="004B48B5" w:rsidP="004B48B5">
      <w:pPr>
        <w:numPr>
          <w:ilvl w:val="0"/>
          <w:numId w:val="11"/>
        </w:numPr>
        <w:suppressAutoHyphens/>
        <w:spacing w:after="200" w:line="276" w:lineRule="auto"/>
        <w:ind w:right="-285"/>
        <w:contextualSpacing/>
        <w:jc w:val="both"/>
        <w:rPr>
          <w:rFonts w:ascii="Calibri" w:eastAsia="Times New Roman" w:hAnsi="Calibri" w:cs="Calibri"/>
          <w:b/>
          <w:bCs/>
          <w:color w:val="00000A"/>
          <w:sz w:val="22"/>
          <w:szCs w:val="22"/>
        </w:rPr>
      </w:pPr>
      <w:r w:rsidRPr="004B48B5">
        <w:rPr>
          <w:rFonts w:ascii="Calibri" w:eastAsia="Times New Roman" w:hAnsi="Calibri" w:cs="Calibri"/>
          <w:b/>
          <w:bCs/>
          <w:color w:val="00000A"/>
          <w:sz w:val="22"/>
          <w:szCs w:val="22"/>
        </w:rPr>
        <w:t xml:space="preserve">   Is there already a baseline value for 2015? </w:t>
      </w:r>
    </w:p>
    <w:p w:rsidR="004B48B5" w:rsidRPr="004B48B5" w:rsidRDefault="004B48B5" w:rsidP="004B48B5">
      <w:pPr>
        <w:suppressAutoHyphens/>
        <w:spacing w:after="200" w:line="276" w:lineRule="auto"/>
        <w:ind w:right="-285"/>
        <w:jc w:val="both"/>
        <w:rPr>
          <w:rFonts w:ascii="Calibri" w:eastAsia="SimSun" w:hAnsi="Calibri" w:cs="Calibri"/>
          <w:color w:val="00000A"/>
          <w:sz w:val="22"/>
          <w:szCs w:val="22"/>
        </w:rPr>
      </w:pPr>
      <w:r w:rsidRPr="004B48B5">
        <w:rPr>
          <w:rFonts w:ascii="Calibri" w:eastAsia="SimSun" w:hAnsi="Calibri" w:cs="Calibri"/>
          <w:color w:val="00000A"/>
          <w:sz w:val="22"/>
          <w:szCs w:val="22"/>
        </w:rPr>
        <w:t>In keeping with the intention of the target, a meaningful numeric target could be set as: Annual change in average stocking level (Mg/ha) of carbon in forest biomass is either stable or increasing. FRA 2015 provides values for the year 2015.  These values will be updated in 2020, 2025 and 2030.</w:t>
      </w:r>
    </w:p>
    <w:p w:rsidR="004B48B5" w:rsidRPr="004B48B5" w:rsidRDefault="004B48B5" w:rsidP="004B48B5">
      <w:pPr>
        <w:rPr>
          <w:rFonts w:ascii="Calibri" w:eastAsia="SimSun" w:hAnsi="Calibri" w:cs="Calibri"/>
          <w:color w:val="00000A"/>
          <w:sz w:val="22"/>
          <w:szCs w:val="22"/>
        </w:rPr>
      </w:pPr>
      <w:r w:rsidRPr="004B48B5">
        <w:rPr>
          <w:rFonts w:ascii="Calibri" w:eastAsia="SimSun" w:hAnsi="Calibri" w:cs="Calibri"/>
          <w:color w:val="00000A"/>
          <w:sz w:val="22"/>
          <w:szCs w:val="22"/>
        </w:rPr>
        <w:br w:type="page"/>
      </w:r>
    </w:p>
    <w:p w:rsidR="004B48B5" w:rsidRPr="004B48B5" w:rsidRDefault="004B48B5" w:rsidP="004B48B5">
      <w:pPr>
        <w:shd w:val="clear" w:color="auto" w:fill="99FF99"/>
        <w:spacing w:after="200" w:line="276" w:lineRule="auto"/>
        <w:ind w:right="-285"/>
        <w:jc w:val="center"/>
        <w:rPr>
          <w:rFonts w:ascii="Calibri" w:eastAsia="SimSun" w:hAnsi="Calibri"/>
          <w:b/>
          <w:color w:val="auto"/>
        </w:rPr>
      </w:pPr>
      <w:bookmarkStart w:id="3" w:name="Indicator15_2_2"/>
      <w:r w:rsidRPr="004B48B5">
        <w:rPr>
          <w:rFonts w:ascii="Calibri" w:eastAsia="SimSun" w:hAnsi="Calibri"/>
          <w:b/>
          <w:color w:val="auto"/>
        </w:rPr>
        <w:lastRenderedPageBreak/>
        <w:t xml:space="preserve">Indicator 15.2.2 </w:t>
      </w:r>
      <w:bookmarkEnd w:id="3"/>
      <w:r w:rsidRPr="004B48B5">
        <w:rPr>
          <w:rFonts w:ascii="Calibri" w:eastAsia="SimSun" w:hAnsi="Calibri"/>
          <w:b/>
          <w:color w:val="auto"/>
        </w:rPr>
        <w:t>(Core</w:t>
      </w:r>
      <w:proofErr w:type="gramStart"/>
      <w:r w:rsidRPr="004B48B5">
        <w:rPr>
          <w:rFonts w:ascii="Calibri" w:eastAsia="SimSun" w:hAnsi="Calibri"/>
          <w:b/>
          <w:color w:val="auto"/>
        </w:rPr>
        <w:t>)</w:t>
      </w:r>
      <w:proofErr w:type="gramEnd"/>
      <w:r w:rsidRPr="004B48B5">
        <w:rPr>
          <w:rFonts w:ascii="Calibri" w:eastAsia="SimSun" w:hAnsi="Calibri"/>
          <w:b/>
          <w:color w:val="auto"/>
        </w:rPr>
        <w:br/>
        <w:t>“</w:t>
      </w:r>
      <w:r w:rsidRPr="004B48B5">
        <w:rPr>
          <w:rFonts w:ascii="Calibri" w:eastAsia="SimSun" w:hAnsi="Calibri"/>
          <w:color w:val="auto"/>
        </w:rPr>
        <w:t>Forest cover under sustainable forest management</w:t>
      </w:r>
      <w:r w:rsidRPr="004B48B5">
        <w:rPr>
          <w:rFonts w:ascii="Calibri" w:eastAsia="SimSun" w:hAnsi="Calibri"/>
          <w:b/>
          <w:color w:val="auto"/>
        </w:rPr>
        <w:t>”</w:t>
      </w:r>
    </w:p>
    <w:p w:rsidR="004B48B5" w:rsidRPr="004B48B5" w:rsidRDefault="004B48B5" w:rsidP="004B48B5">
      <w:pPr>
        <w:suppressAutoHyphens/>
        <w:spacing w:after="200" w:line="276" w:lineRule="auto"/>
        <w:jc w:val="both"/>
        <w:rPr>
          <w:rFonts w:ascii="Calibri" w:eastAsia="SimSun" w:hAnsi="Calibri" w:cs="Calibri"/>
          <w:color w:val="00000A"/>
          <w:sz w:val="22"/>
          <w:szCs w:val="22"/>
        </w:rPr>
      </w:pPr>
    </w:p>
    <w:p w:rsidR="004B48B5" w:rsidRPr="004B48B5" w:rsidRDefault="004B48B5" w:rsidP="004B48B5">
      <w:pPr>
        <w:keepNext/>
        <w:numPr>
          <w:ilvl w:val="0"/>
          <w:numId w:val="12"/>
        </w:numPr>
        <w:suppressAutoHyphens/>
        <w:spacing w:after="200" w:line="276" w:lineRule="auto"/>
        <w:ind w:left="993" w:right="-285" w:hanging="425"/>
        <w:jc w:val="both"/>
        <w:outlineLvl w:val="2"/>
        <w:rPr>
          <w:rFonts w:ascii="Calibri" w:eastAsia="Times New Roman" w:hAnsi="Calibri"/>
          <w:b/>
          <w:bCs/>
          <w:color w:val="auto"/>
          <w:sz w:val="22"/>
          <w:szCs w:val="22"/>
          <w:lang w:val="en-US"/>
        </w:rPr>
        <w:sectPr w:rsidR="004B48B5" w:rsidRPr="004B48B5" w:rsidSect="004B48B5">
          <w:headerReference w:type="default" r:id="rId9"/>
          <w:pgSz w:w="11907" w:h="16840" w:code="9"/>
          <w:pgMar w:top="1560" w:right="1418" w:bottom="1134" w:left="1418" w:header="709" w:footer="709" w:gutter="0"/>
          <w:cols w:space="708"/>
          <w:titlePg/>
          <w:docGrid w:linePitch="360"/>
        </w:sectPr>
      </w:pPr>
    </w:p>
    <w:p w:rsidR="004B48B5" w:rsidRPr="004B48B5" w:rsidRDefault="004B48B5" w:rsidP="004B48B5">
      <w:pPr>
        <w:keepNext/>
        <w:numPr>
          <w:ilvl w:val="0"/>
          <w:numId w:val="12"/>
        </w:numPr>
        <w:suppressAutoHyphens/>
        <w:spacing w:after="200" w:line="276" w:lineRule="auto"/>
        <w:ind w:left="993" w:right="-285" w:hanging="425"/>
        <w:jc w:val="both"/>
        <w:outlineLvl w:val="2"/>
        <w:rPr>
          <w:rFonts w:ascii="Calibri" w:eastAsia="Times New Roman" w:hAnsi="Calibri"/>
          <w:b/>
          <w:bCs/>
          <w:color w:val="auto"/>
          <w:sz w:val="22"/>
          <w:szCs w:val="22"/>
          <w:lang w:val="en-US"/>
        </w:rPr>
      </w:pPr>
      <w:r w:rsidRPr="004B48B5">
        <w:rPr>
          <w:rFonts w:ascii="Calibri" w:eastAsia="Times New Roman" w:hAnsi="Calibri"/>
          <w:b/>
          <w:bCs/>
          <w:color w:val="auto"/>
          <w:sz w:val="22"/>
          <w:szCs w:val="22"/>
          <w:lang w:val="en-US"/>
        </w:rPr>
        <w:lastRenderedPageBreak/>
        <w:t xml:space="preserve">What is the </w:t>
      </w:r>
      <w:r w:rsidRPr="004B48B5">
        <w:rPr>
          <w:rFonts w:ascii="Calibri" w:eastAsia="Times New Roman" w:hAnsi="Calibri"/>
          <w:b/>
          <w:bCs/>
          <w:i/>
          <w:iCs/>
          <w:color w:val="auto"/>
          <w:sz w:val="22"/>
          <w:szCs w:val="22"/>
          <w:lang w:val="en-US"/>
        </w:rPr>
        <w:t>precise</w:t>
      </w:r>
      <w:r w:rsidRPr="004B48B5">
        <w:rPr>
          <w:rFonts w:ascii="Calibri" w:eastAsia="Times New Roman" w:hAnsi="Calibri"/>
          <w:b/>
          <w:bCs/>
          <w:color w:val="auto"/>
          <w:sz w:val="22"/>
          <w:szCs w:val="22"/>
          <w:lang w:val="en-US"/>
        </w:rPr>
        <w:t xml:space="preserve"> definition of the indicator?</w:t>
      </w:r>
    </w:p>
    <w:p w:rsidR="004B48B5" w:rsidRPr="004B48B5" w:rsidRDefault="004B48B5" w:rsidP="004B48B5">
      <w:pPr>
        <w:spacing w:line="276" w:lineRule="auto"/>
        <w:ind w:right="-285"/>
        <w:jc w:val="both"/>
        <w:rPr>
          <w:rFonts w:ascii="Calibri" w:eastAsia="Times New Roman" w:hAnsi="Calibri"/>
          <w:sz w:val="22"/>
          <w:szCs w:val="22"/>
        </w:rPr>
      </w:pPr>
      <w:r w:rsidRPr="004B48B5">
        <w:rPr>
          <w:rFonts w:ascii="Calibri" w:eastAsia="Times New Roman" w:hAnsi="Calibri"/>
          <w:sz w:val="22"/>
          <w:szCs w:val="22"/>
        </w:rPr>
        <w:t>This indicator provides a measure of forest area potentially under Sustainable Forest Management (SFM).  It is defined as:</w:t>
      </w:r>
    </w:p>
    <w:p w:rsidR="004B48B5" w:rsidRPr="004B48B5" w:rsidRDefault="004B48B5" w:rsidP="004B48B5">
      <w:pPr>
        <w:spacing w:line="276" w:lineRule="auto"/>
        <w:ind w:right="-285"/>
        <w:jc w:val="both"/>
        <w:rPr>
          <w:rFonts w:ascii="Calibri" w:eastAsia="Times New Roman" w:hAnsi="Calibri"/>
          <w:sz w:val="22"/>
          <w:szCs w:val="22"/>
        </w:rPr>
      </w:pPr>
    </w:p>
    <w:p w:rsidR="004B48B5" w:rsidRPr="004B48B5" w:rsidRDefault="004B48B5" w:rsidP="004B48B5">
      <w:pPr>
        <w:spacing w:line="276" w:lineRule="auto"/>
        <w:ind w:right="-285"/>
        <w:jc w:val="both"/>
        <w:rPr>
          <w:rFonts w:ascii="Calibri" w:eastAsia="Times New Roman" w:hAnsi="Calibri"/>
          <w:sz w:val="22"/>
          <w:szCs w:val="22"/>
        </w:rPr>
      </w:pPr>
      <w:r w:rsidRPr="004B48B5">
        <w:rPr>
          <w:rFonts w:ascii="Calibri" w:eastAsia="Times New Roman" w:hAnsi="Calibri"/>
          <w:sz w:val="22"/>
          <w:szCs w:val="22"/>
        </w:rPr>
        <w:t xml:space="preserve">The area of permanent forest use as modified by the presence of: A) Policies and legislation supporting SFM; B) A national stakeholder platform for input to forest policy; C) National forest inventory data; D) National forest reporting; E) Forest management plans that include soil and water conservation, high conservation value forest and social engagement, and; F) Stakeholder involvement in operational planning, operations and review.  </w:t>
      </w:r>
    </w:p>
    <w:p w:rsidR="004B48B5" w:rsidRPr="004B48B5" w:rsidRDefault="004B48B5" w:rsidP="004B48B5">
      <w:pPr>
        <w:spacing w:line="276" w:lineRule="auto"/>
        <w:ind w:right="-285"/>
        <w:jc w:val="both"/>
        <w:rPr>
          <w:rFonts w:ascii="Calibri" w:eastAsia="Times New Roman" w:hAnsi="Calibri"/>
          <w:sz w:val="22"/>
          <w:szCs w:val="22"/>
        </w:rPr>
      </w:pPr>
    </w:p>
    <w:p w:rsidR="004B48B5" w:rsidRPr="004B48B5" w:rsidRDefault="004B48B5" w:rsidP="004B48B5">
      <w:pPr>
        <w:spacing w:line="276" w:lineRule="auto"/>
        <w:ind w:right="-285"/>
        <w:jc w:val="both"/>
        <w:rPr>
          <w:rFonts w:ascii="Calibri" w:eastAsia="Times New Roman" w:hAnsi="Calibri"/>
          <w:sz w:val="22"/>
          <w:szCs w:val="22"/>
        </w:rPr>
      </w:pPr>
      <w:r w:rsidRPr="004B48B5">
        <w:rPr>
          <w:rFonts w:ascii="Calibri" w:eastAsia="Times New Roman" w:hAnsi="Calibri"/>
          <w:sz w:val="22"/>
          <w:szCs w:val="22"/>
        </w:rPr>
        <w:t>The unit of measure is the number of hectares covered by these attributes.</w:t>
      </w:r>
    </w:p>
    <w:p w:rsidR="004B48B5" w:rsidRPr="004B48B5" w:rsidRDefault="004B48B5" w:rsidP="004B48B5">
      <w:pPr>
        <w:ind w:right="-285"/>
        <w:jc w:val="both"/>
        <w:rPr>
          <w:rFonts w:ascii="Calibri" w:eastAsia="Times New Roman" w:hAnsi="Calibri"/>
          <w:sz w:val="22"/>
          <w:szCs w:val="22"/>
        </w:rPr>
      </w:pPr>
    </w:p>
    <w:p w:rsidR="004B48B5" w:rsidRPr="004B48B5" w:rsidRDefault="004B48B5" w:rsidP="004B48B5">
      <w:pPr>
        <w:numPr>
          <w:ilvl w:val="0"/>
          <w:numId w:val="1"/>
        </w:numPr>
        <w:suppressAutoHyphens/>
        <w:spacing w:after="200" w:line="276" w:lineRule="auto"/>
        <w:ind w:left="993" w:right="-285" w:hanging="425"/>
        <w:contextualSpacing/>
        <w:jc w:val="both"/>
        <w:rPr>
          <w:rFonts w:ascii="Calibri" w:eastAsia="Times New Roman" w:hAnsi="Calibri"/>
          <w:b/>
          <w:bCs/>
          <w:color w:val="auto"/>
          <w:sz w:val="22"/>
          <w:szCs w:val="22"/>
          <w:lang w:val="en-US"/>
        </w:rPr>
      </w:pPr>
      <w:r w:rsidRPr="004B48B5">
        <w:rPr>
          <w:rFonts w:ascii="Calibri" w:eastAsia="Times New Roman" w:hAnsi="Calibri"/>
          <w:b/>
          <w:bCs/>
          <w:color w:val="auto"/>
          <w:sz w:val="22"/>
          <w:szCs w:val="22"/>
          <w:lang w:val="en-US"/>
        </w:rPr>
        <w:t>How is the indicator linked to the specific TARGET as worded in the OWG report and copied above?</w:t>
      </w:r>
    </w:p>
    <w:p w:rsidR="004B48B5" w:rsidRPr="004B48B5" w:rsidRDefault="004B48B5" w:rsidP="004B48B5">
      <w:pPr>
        <w:spacing w:after="200" w:line="276" w:lineRule="auto"/>
        <w:ind w:right="-285"/>
        <w:jc w:val="both"/>
        <w:rPr>
          <w:rFonts w:ascii="Calibri" w:eastAsia="Calibri" w:hAnsi="Calibri"/>
          <w:color w:val="auto"/>
          <w:sz w:val="12"/>
          <w:szCs w:val="22"/>
          <w:lang w:val="en-US"/>
        </w:rPr>
      </w:pPr>
    </w:p>
    <w:p w:rsidR="004B48B5" w:rsidRPr="004B48B5" w:rsidRDefault="004B48B5" w:rsidP="004B48B5">
      <w:pPr>
        <w:spacing w:after="200" w:line="276" w:lineRule="auto"/>
        <w:ind w:right="-285"/>
        <w:jc w:val="both"/>
        <w:rPr>
          <w:rFonts w:ascii="Calibri" w:eastAsia="Calibri" w:hAnsi="Calibri"/>
          <w:color w:val="auto"/>
          <w:sz w:val="22"/>
          <w:szCs w:val="22"/>
          <w:lang w:val="en-US"/>
        </w:rPr>
      </w:pPr>
      <w:r w:rsidRPr="004B48B5">
        <w:rPr>
          <w:rFonts w:ascii="Calibri" w:eastAsia="Calibri" w:hAnsi="Calibri"/>
          <w:b/>
          <w:bCs/>
          <w:color w:val="auto"/>
          <w:sz w:val="22"/>
          <w:szCs w:val="22"/>
        </w:rPr>
        <w:t xml:space="preserve">"15.2 </w:t>
      </w:r>
      <w:r w:rsidRPr="004B48B5">
        <w:rPr>
          <w:rFonts w:ascii="Calibri" w:eastAsia="Calibri" w:hAnsi="Calibri"/>
          <w:color w:val="auto"/>
          <w:sz w:val="22"/>
          <w:szCs w:val="22"/>
        </w:rPr>
        <w:t xml:space="preserve">By 2020, promote the implementation of sustainable management of all types of forests, halt deforestation, </w:t>
      </w:r>
      <w:proofErr w:type="gramStart"/>
      <w:r w:rsidRPr="004B48B5">
        <w:rPr>
          <w:rFonts w:ascii="Calibri" w:eastAsia="Calibri" w:hAnsi="Calibri"/>
          <w:color w:val="auto"/>
          <w:sz w:val="22"/>
          <w:szCs w:val="22"/>
        </w:rPr>
        <w:t>restore</w:t>
      </w:r>
      <w:proofErr w:type="gramEnd"/>
      <w:r w:rsidRPr="004B48B5">
        <w:rPr>
          <w:rFonts w:ascii="Calibri" w:eastAsia="Calibri" w:hAnsi="Calibri"/>
          <w:color w:val="auto"/>
          <w:sz w:val="22"/>
          <w:szCs w:val="22"/>
        </w:rPr>
        <w:t xml:space="preserve"> degraded forests and increase afforestation and reforestation by [x] per cent globally."</w:t>
      </w:r>
    </w:p>
    <w:p w:rsidR="004B48B5" w:rsidRPr="004B48B5" w:rsidRDefault="004B48B5" w:rsidP="004B48B5">
      <w:pPr>
        <w:spacing w:after="200" w:line="276" w:lineRule="auto"/>
        <w:ind w:right="-285"/>
        <w:jc w:val="both"/>
        <w:rPr>
          <w:rFonts w:ascii="Calibri" w:eastAsia="Calibri" w:hAnsi="Calibri"/>
          <w:color w:val="auto"/>
          <w:sz w:val="22"/>
          <w:szCs w:val="22"/>
          <w:lang w:val="en-US"/>
        </w:rPr>
      </w:pPr>
      <w:r w:rsidRPr="004B48B5">
        <w:rPr>
          <w:rFonts w:ascii="Calibri" w:eastAsia="Calibri" w:hAnsi="Calibri"/>
          <w:color w:val="auto"/>
          <w:sz w:val="22"/>
          <w:szCs w:val="22"/>
          <w:lang w:val="en-US"/>
        </w:rPr>
        <w:t xml:space="preserve">The proposed indicator supports the concept that sustainable forest management includes government commitments (e.g. permanent forest land use, policies and legislation), data-driven decision making, </w:t>
      </w:r>
      <w:proofErr w:type="gramStart"/>
      <w:r w:rsidRPr="004B48B5">
        <w:rPr>
          <w:rFonts w:ascii="Calibri" w:eastAsia="Calibri" w:hAnsi="Calibri"/>
          <w:color w:val="auto"/>
          <w:sz w:val="22"/>
          <w:szCs w:val="22"/>
          <w:lang w:val="en-US"/>
        </w:rPr>
        <w:t>planning</w:t>
      </w:r>
      <w:proofErr w:type="gramEnd"/>
      <w:r w:rsidRPr="004B48B5">
        <w:rPr>
          <w:rFonts w:ascii="Calibri" w:eastAsia="Calibri" w:hAnsi="Calibri"/>
          <w:color w:val="auto"/>
          <w:sz w:val="22"/>
          <w:szCs w:val="22"/>
          <w:lang w:val="en-US"/>
        </w:rPr>
        <w:t xml:space="preserve"> and stakeholder involvement.  The indicator applies to all forest area as defined in the Global Forest Resources Assessment (FRA).  An increase in the area reported through this indicator demonstrates increased commitment to permanent, sustainable management of forest resources including stakeholder inputs at national and operational scales. </w:t>
      </w:r>
    </w:p>
    <w:p w:rsidR="004B48B5" w:rsidRPr="004B48B5" w:rsidRDefault="004B48B5" w:rsidP="004B48B5">
      <w:pPr>
        <w:spacing w:after="200" w:line="276" w:lineRule="auto"/>
        <w:ind w:left="993" w:right="-285" w:hanging="425"/>
        <w:jc w:val="both"/>
        <w:rPr>
          <w:rFonts w:ascii="Calibri" w:eastAsia="Calibri" w:hAnsi="Calibri"/>
          <w:color w:val="auto"/>
          <w:sz w:val="22"/>
          <w:szCs w:val="22"/>
          <w:lang w:val="en-US"/>
        </w:rPr>
      </w:pPr>
      <w:r w:rsidRPr="004B48B5">
        <w:rPr>
          <w:rFonts w:ascii="Calibri" w:eastAsia="Calibri" w:hAnsi="Calibri"/>
          <w:b/>
          <w:color w:val="auto"/>
          <w:sz w:val="22"/>
          <w:szCs w:val="22"/>
          <w:lang w:val="en-US"/>
        </w:rPr>
        <w:t xml:space="preserve">3. </w:t>
      </w:r>
      <w:r w:rsidRPr="004B48B5">
        <w:rPr>
          <w:rFonts w:ascii="Calibri" w:eastAsia="Calibri" w:hAnsi="Calibri"/>
          <w:b/>
          <w:color w:val="auto"/>
          <w:sz w:val="22"/>
          <w:szCs w:val="22"/>
          <w:lang w:val="en-US"/>
        </w:rPr>
        <w:tab/>
      </w:r>
      <w:r w:rsidRPr="004B48B5">
        <w:rPr>
          <w:rFonts w:ascii="Calibri" w:eastAsia="Times New Roman" w:hAnsi="Calibri"/>
          <w:b/>
          <w:bCs/>
          <w:color w:val="auto"/>
          <w:sz w:val="22"/>
          <w:szCs w:val="22"/>
          <w:lang w:val="en-US"/>
        </w:rPr>
        <w:t>Does the indicator already exist and is it regularly reported?</w:t>
      </w:r>
    </w:p>
    <w:p w:rsidR="004B48B5" w:rsidRPr="004B48B5" w:rsidRDefault="004B48B5" w:rsidP="004B48B5">
      <w:pPr>
        <w:spacing w:after="200" w:line="276" w:lineRule="auto"/>
        <w:ind w:right="-285"/>
        <w:jc w:val="both"/>
        <w:rPr>
          <w:rFonts w:ascii="Calibri" w:eastAsia="Times New Roman" w:hAnsi="Calibri"/>
          <w:bCs/>
          <w:color w:val="auto"/>
          <w:sz w:val="22"/>
          <w:szCs w:val="22"/>
          <w:lang w:val="en-US"/>
        </w:rPr>
      </w:pPr>
      <w:r w:rsidRPr="004B48B5">
        <w:rPr>
          <w:rFonts w:ascii="Calibri" w:eastAsia="Times New Roman" w:hAnsi="Calibri"/>
          <w:bCs/>
          <w:color w:val="auto"/>
          <w:sz w:val="22"/>
          <w:szCs w:val="22"/>
          <w:lang w:val="en-US"/>
        </w:rPr>
        <w:t>Yes, FAO maintains this index based on country reporting beginning with the Global Forest Resources Assessment (FRA) 2015.  Data is collected globally every 5 years with reporting anticipated in 2015, 2020, 2025 and 2030.  http://www.fao.org/forestry/fra/83059/en/</w:t>
      </w:r>
    </w:p>
    <w:p w:rsidR="004B48B5" w:rsidRPr="004B48B5" w:rsidRDefault="004B48B5" w:rsidP="004B48B5">
      <w:pPr>
        <w:spacing w:after="200" w:line="276" w:lineRule="auto"/>
        <w:ind w:left="993" w:right="-285" w:hanging="425"/>
        <w:jc w:val="both"/>
        <w:rPr>
          <w:rFonts w:ascii="Calibri" w:eastAsia="Times New Roman" w:hAnsi="Calibri"/>
          <w:b/>
          <w:bCs/>
          <w:color w:val="auto"/>
          <w:sz w:val="22"/>
          <w:szCs w:val="22"/>
          <w:lang w:val="en-US"/>
        </w:rPr>
      </w:pPr>
      <w:r w:rsidRPr="004B48B5">
        <w:rPr>
          <w:rFonts w:ascii="Calibri" w:eastAsia="Times New Roman" w:hAnsi="Calibri"/>
          <w:b/>
          <w:bCs/>
          <w:color w:val="auto"/>
          <w:sz w:val="22"/>
          <w:szCs w:val="22"/>
          <w:lang w:val="en-US"/>
        </w:rPr>
        <w:t xml:space="preserve">4.  </w:t>
      </w:r>
      <w:r w:rsidRPr="004B48B5">
        <w:rPr>
          <w:rFonts w:ascii="Calibri" w:eastAsia="Times New Roman" w:hAnsi="Calibri"/>
          <w:b/>
          <w:bCs/>
          <w:color w:val="auto"/>
          <w:sz w:val="22"/>
          <w:szCs w:val="22"/>
          <w:lang w:val="en-US"/>
        </w:rPr>
        <w:tab/>
        <w:t>Comment on the reliability, potential coverage, comparability across countries, and the possibility to compute the indicator at sub-national level.</w:t>
      </w:r>
    </w:p>
    <w:p w:rsidR="004B48B5" w:rsidRPr="004B48B5" w:rsidRDefault="004B48B5" w:rsidP="004B48B5">
      <w:pPr>
        <w:spacing w:after="200" w:line="276" w:lineRule="auto"/>
        <w:ind w:right="-285"/>
        <w:jc w:val="both"/>
        <w:rPr>
          <w:rFonts w:ascii="Calibri" w:eastAsia="Calibri" w:hAnsi="Calibri"/>
          <w:color w:val="auto"/>
          <w:sz w:val="22"/>
          <w:szCs w:val="22"/>
        </w:rPr>
        <w:sectPr w:rsidR="004B48B5" w:rsidRPr="004B48B5" w:rsidSect="005734D1">
          <w:type w:val="continuous"/>
          <w:pgSz w:w="11907" w:h="16840" w:code="9"/>
          <w:pgMar w:top="1560" w:right="1418" w:bottom="1134" w:left="1418" w:header="709" w:footer="709" w:gutter="0"/>
          <w:cols w:space="708"/>
          <w:titlePg/>
          <w:docGrid w:linePitch="360"/>
        </w:sectPr>
      </w:pPr>
      <w:r w:rsidRPr="004B48B5">
        <w:rPr>
          <w:rFonts w:ascii="Calibri" w:eastAsia="Calibri" w:hAnsi="Calibri"/>
          <w:color w:val="auto"/>
          <w:sz w:val="22"/>
          <w:szCs w:val="22"/>
        </w:rPr>
        <w:t xml:space="preserve">A quality descriptor is associated with the forest area, forest management planning and operational stakeholder involvement components of the index.  Coverage is aggregated to the country level in the country reports.  In 2015 some 155 countries reported for most of the elements in the index that add to a total of 2.200 M ha (55% global forest area).  A common definition is used for each element so comparability across countries is good.  Countries have not been asked for sub-national breakdown of the elements except for policies and legislation that support SFM.  These data are requested at National and Sub-National (regional, provincial/state, local) scales.  The indicator relates to international, </w:t>
      </w:r>
    </w:p>
    <w:p w:rsidR="004B48B5" w:rsidRPr="004B48B5" w:rsidRDefault="004B48B5" w:rsidP="004B48B5">
      <w:pPr>
        <w:spacing w:after="200" w:line="276" w:lineRule="auto"/>
        <w:ind w:right="-285"/>
        <w:jc w:val="both"/>
        <w:rPr>
          <w:rFonts w:ascii="Calibri" w:eastAsia="Calibri" w:hAnsi="Calibri"/>
          <w:color w:val="auto"/>
          <w:sz w:val="22"/>
          <w:szCs w:val="22"/>
        </w:rPr>
      </w:pPr>
      <w:proofErr w:type="gramStart"/>
      <w:r w:rsidRPr="004B48B5">
        <w:rPr>
          <w:rFonts w:ascii="Calibri" w:eastAsia="Calibri" w:hAnsi="Calibri"/>
          <w:color w:val="auto"/>
          <w:sz w:val="22"/>
          <w:szCs w:val="22"/>
        </w:rPr>
        <w:lastRenderedPageBreak/>
        <w:t>independently</w:t>
      </w:r>
      <w:proofErr w:type="gramEnd"/>
      <w:r w:rsidRPr="004B48B5">
        <w:rPr>
          <w:rFonts w:ascii="Calibri" w:eastAsia="Calibri" w:hAnsi="Calibri"/>
          <w:color w:val="auto"/>
          <w:sz w:val="22"/>
          <w:szCs w:val="22"/>
        </w:rPr>
        <w:t xml:space="preserve"> verifiable forest certification in that forest management plans and stakeholder involvement at the operational scale are present in both the SFM Index and in forest certification standards.  Certification is therefore not included in the SFM Index because doing so would result in a type of double counting that is technically very difficult to avoid.</w:t>
      </w:r>
    </w:p>
    <w:p w:rsidR="004B48B5" w:rsidRPr="004B48B5" w:rsidRDefault="004B48B5" w:rsidP="004B48B5">
      <w:pPr>
        <w:spacing w:after="200" w:line="276" w:lineRule="auto"/>
        <w:ind w:left="993" w:right="-285" w:hanging="425"/>
        <w:jc w:val="both"/>
        <w:rPr>
          <w:rFonts w:ascii="Calibri" w:eastAsia="Times New Roman" w:hAnsi="Calibri"/>
          <w:b/>
          <w:bCs/>
          <w:color w:val="auto"/>
          <w:sz w:val="22"/>
          <w:szCs w:val="22"/>
          <w:lang w:val="en-US"/>
        </w:rPr>
      </w:pPr>
      <w:r w:rsidRPr="004B48B5">
        <w:rPr>
          <w:rFonts w:ascii="Calibri" w:eastAsia="Times New Roman" w:hAnsi="Calibri"/>
          <w:b/>
          <w:bCs/>
          <w:color w:val="auto"/>
          <w:sz w:val="22"/>
          <w:szCs w:val="22"/>
          <w:lang w:val="en-US"/>
        </w:rPr>
        <w:t xml:space="preserve">5. </w:t>
      </w:r>
      <w:r w:rsidRPr="004B48B5">
        <w:rPr>
          <w:rFonts w:ascii="Calibri" w:eastAsia="Times New Roman" w:hAnsi="Calibri"/>
          <w:b/>
          <w:bCs/>
          <w:color w:val="auto"/>
          <w:sz w:val="22"/>
          <w:szCs w:val="22"/>
          <w:lang w:val="en-US"/>
        </w:rPr>
        <w:tab/>
        <w:t xml:space="preserve">   Is there already a baseline value for 2015? </w:t>
      </w:r>
    </w:p>
    <w:p w:rsidR="004B48B5" w:rsidRPr="004B48B5" w:rsidRDefault="004B48B5" w:rsidP="004B48B5">
      <w:pPr>
        <w:spacing w:after="120" w:line="276" w:lineRule="auto"/>
        <w:ind w:right="-285"/>
        <w:jc w:val="both"/>
        <w:rPr>
          <w:rFonts w:ascii="Calibri" w:eastAsia="Calibri" w:hAnsi="Calibri"/>
          <w:color w:val="auto"/>
          <w:sz w:val="22"/>
          <w:szCs w:val="22"/>
        </w:rPr>
      </w:pPr>
      <w:r w:rsidRPr="004B48B5">
        <w:rPr>
          <w:rFonts w:ascii="Calibri" w:eastAsia="Calibri" w:hAnsi="Calibri"/>
          <w:color w:val="auto"/>
          <w:sz w:val="22"/>
          <w:szCs w:val="22"/>
          <w:lang w:val="en-US"/>
        </w:rPr>
        <w:t>A numerical global target could be set for this indicator and a reasonable value would be in the range of 50% increase in the area reported.  This would be a global increase of about 500 million ha potentially covered by SFM due to the length of the period (15 years) as well as to an expected increase in the number of reporting countries.  A relative target is proposed as a percentage increase.  A specific target by country is recommended based on forest covered by the SFM Index as a proportion of total forest area.  This would recognize the reality that countries are starting at different levels of preparedness for SFM.</w:t>
      </w:r>
    </w:p>
    <w:p w:rsidR="004B48B5" w:rsidRPr="004B48B5" w:rsidRDefault="004B48B5" w:rsidP="004B48B5">
      <w:pPr>
        <w:spacing w:after="120" w:line="276" w:lineRule="auto"/>
        <w:ind w:right="-285"/>
        <w:jc w:val="both"/>
        <w:rPr>
          <w:rFonts w:ascii="Calibri" w:eastAsia="Calibri" w:hAnsi="Calibri"/>
          <w:color w:val="auto"/>
          <w:sz w:val="22"/>
          <w:szCs w:val="22"/>
        </w:rPr>
        <w:sectPr w:rsidR="004B48B5" w:rsidRPr="004B48B5" w:rsidSect="005734D1">
          <w:type w:val="continuous"/>
          <w:pgSz w:w="11907" w:h="16840" w:code="9"/>
          <w:pgMar w:top="1560" w:right="1418" w:bottom="1134" w:left="1418" w:header="709" w:footer="709" w:gutter="0"/>
          <w:cols w:space="708"/>
          <w:titlePg/>
          <w:docGrid w:linePitch="360"/>
        </w:sectPr>
      </w:pPr>
    </w:p>
    <w:p w:rsidR="004B48B5" w:rsidRPr="004B48B5" w:rsidRDefault="004B48B5" w:rsidP="004B48B5">
      <w:pPr>
        <w:pageBreakBefore/>
        <w:shd w:val="clear" w:color="auto" w:fill="002060"/>
        <w:spacing w:after="200" w:line="276" w:lineRule="auto"/>
        <w:ind w:right="280"/>
        <w:jc w:val="center"/>
        <w:outlineLvl w:val="0"/>
        <w:rPr>
          <w:rFonts w:ascii="Calibri" w:eastAsia="SimSun" w:hAnsi="Calibri"/>
          <w:b/>
          <w:color w:val="FFFFFF"/>
        </w:rPr>
      </w:pPr>
      <w:bookmarkStart w:id="4" w:name="Target15_3"/>
      <w:r w:rsidRPr="004B48B5">
        <w:rPr>
          <w:rFonts w:ascii="Calibri" w:eastAsia="SimSun" w:hAnsi="Calibri"/>
          <w:b/>
          <w:color w:val="FFFFFF"/>
          <w:u w:val="single"/>
          <w:shd w:val="clear" w:color="auto" w:fill="002060"/>
        </w:rPr>
        <w:lastRenderedPageBreak/>
        <w:t>Target 15.3</w:t>
      </w:r>
      <w:r w:rsidRPr="004B48B5">
        <w:rPr>
          <w:rFonts w:ascii="Calibri" w:eastAsia="SimSun" w:hAnsi="Calibri"/>
          <w:b/>
          <w:color w:val="FFFFFF"/>
          <w:shd w:val="clear" w:color="auto" w:fill="002060"/>
        </w:rPr>
        <w:t xml:space="preserve"> </w:t>
      </w:r>
      <w:bookmarkEnd w:id="4"/>
      <w:r w:rsidRPr="004B48B5">
        <w:rPr>
          <w:rFonts w:ascii="Calibri" w:eastAsia="SimSun" w:hAnsi="Calibri"/>
          <w:b/>
          <w:color w:val="FFFFFF"/>
          <w:shd w:val="clear" w:color="auto" w:fill="002060"/>
        </w:rPr>
        <w:br/>
        <w:t>“By 2020, combat desertification, restore degraded land and soil, including land affected by desertification, drought and floods, and strive to achieve a land-degradation-neutral</w:t>
      </w:r>
      <w:r w:rsidRPr="004B48B5">
        <w:rPr>
          <w:rFonts w:ascii="Calibri" w:eastAsia="SimSun" w:hAnsi="Calibri"/>
          <w:b/>
          <w:color w:val="FFFFFF"/>
        </w:rPr>
        <w:t xml:space="preserve"> world”</w:t>
      </w:r>
    </w:p>
    <w:p w:rsidR="004B48B5" w:rsidRPr="004B48B5" w:rsidRDefault="004B48B5" w:rsidP="004B48B5">
      <w:pPr>
        <w:shd w:val="clear" w:color="auto" w:fill="FFFFFF"/>
        <w:spacing w:after="200" w:line="276" w:lineRule="auto"/>
        <w:ind w:right="280"/>
        <w:jc w:val="center"/>
        <w:rPr>
          <w:rFonts w:eastAsia="SimSun" w:cs="Calibri"/>
          <w:color w:val="00000A"/>
          <w:szCs w:val="22"/>
        </w:rPr>
      </w:pPr>
    </w:p>
    <w:bookmarkStart w:id="5" w:name="Indicator_15_3_1"/>
    <w:p w:rsidR="004B48B5" w:rsidRPr="004B48B5" w:rsidRDefault="004B48B5" w:rsidP="004B48B5">
      <w:pPr>
        <w:shd w:val="clear" w:color="auto" w:fill="99FF99"/>
        <w:suppressAutoHyphens/>
        <w:spacing w:after="200" w:line="276" w:lineRule="auto"/>
        <w:ind w:right="280"/>
        <w:jc w:val="center"/>
        <w:rPr>
          <w:rFonts w:ascii="Calibri" w:eastAsia="SimSun" w:hAnsi="Calibri"/>
          <w:b/>
          <w:color w:val="auto"/>
        </w:rPr>
      </w:pPr>
      <w:r w:rsidRPr="004B48B5">
        <w:rPr>
          <w:rFonts w:eastAsia="SimSun" w:cs="Calibri"/>
          <w:color w:val="auto"/>
          <w:szCs w:val="22"/>
        </w:rPr>
        <w:fldChar w:fldCharType="begin"/>
      </w:r>
      <w:r w:rsidRPr="004B48B5">
        <w:rPr>
          <w:rFonts w:eastAsia="SimSun" w:cs="Calibri"/>
          <w:color w:val="auto"/>
          <w:szCs w:val="22"/>
        </w:rPr>
        <w:instrText>HYPERLINK \l "List_of_indicators"</w:instrText>
      </w:r>
      <w:r w:rsidRPr="004B48B5">
        <w:rPr>
          <w:rFonts w:eastAsia="SimSun" w:cs="Calibri"/>
          <w:color w:val="auto"/>
          <w:szCs w:val="22"/>
        </w:rPr>
        <w:fldChar w:fldCharType="separate"/>
      </w:r>
      <w:r w:rsidRPr="004B48B5">
        <w:rPr>
          <w:rFonts w:ascii="Calibri" w:eastAsia="SimSun" w:hAnsi="Calibri"/>
          <w:b/>
          <w:color w:val="auto"/>
        </w:rPr>
        <w:t>Indicator 15.3.1</w:t>
      </w:r>
      <w:r w:rsidRPr="004B48B5">
        <w:rPr>
          <w:rFonts w:eastAsia="SimSun" w:cs="Calibri"/>
          <w:color w:val="auto"/>
          <w:szCs w:val="22"/>
        </w:rPr>
        <w:fldChar w:fldCharType="end"/>
      </w:r>
      <w:bookmarkEnd w:id="5"/>
      <w:r w:rsidRPr="004B48B5">
        <w:rPr>
          <w:rFonts w:ascii="Calibri" w:eastAsia="SimSun" w:hAnsi="Calibri"/>
          <w:b/>
          <w:color w:val="auto"/>
        </w:rPr>
        <w:t xml:space="preserve"> (Core</w:t>
      </w:r>
      <w:proofErr w:type="gramStart"/>
      <w:r w:rsidRPr="004B48B5">
        <w:rPr>
          <w:rFonts w:ascii="Calibri" w:eastAsia="SimSun" w:hAnsi="Calibri"/>
          <w:b/>
          <w:color w:val="auto"/>
        </w:rPr>
        <w:t>)</w:t>
      </w:r>
      <w:proofErr w:type="gramEnd"/>
      <w:r w:rsidRPr="004B48B5">
        <w:rPr>
          <w:rFonts w:ascii="Calibri" w:eastAsia="SimSun" w:hAnsi="Calibri"/>
          <w:b/>
          <w:color w:val="auto"/>
        </w:rPr>
        <w:br/>
        <w:t>“</w:t>
      </w:r>
      <w:r w:rsidRPr="004B48B5">
        <w:rPr>
          <w:rFonts w:ascii="Calibri" w:eastAsia="SimSun" w:hAnsi="Calibri"/>
          <w:color w:val="auto"/>
        </w:rPr>
        <w:t>Area of land/soils under sustainable management”</w:t>
      </w:r>
    </w:p>
    <w:p w:rsidR="004B48B5" w:rsidRPr="004B48B5" w:rsidRDefault="004B48B5" w:rsidP="004B48B5">
      <w:pPr>
        <w:spacing w:line="276" w:lineRule="auto"/>
        <w:ind w:right="280"/>
        <w:jc w:val="both"/>
        <w:rPr>
          <w:rFonts w:ascii="Calibri" w:eastAsia="Times New Roman" w:hAnsi="Calibri"/>
          <w:i/>
          <w:sz w:val="22"/>
          <w:szCs w:val="22"/>
        </w:rPr>
      </w:pPr>
      <w:r w:rsidRPr="004B48B5">
        <w:rPr>
          <w:rFonts w:ascii="Calibri" w:eastAsia="Times New Roman" w:hAnsi="Calibri"/>
          <w:i/>
          <w:sz w:val="22"/>
          <w:szCs w:val="22"/>
        </w:rPr>
        <w:t>It is proposed that this indicator is produced as an aggregation of the proposed indicator for target 2.4, "Percentage of agricultural area under sustainable agricultural practices" and proposed indicator for target 15.2, "Forest cover under sustainable forest management". Pooling a single indicator that combines sustainable agriculture and SFM will be an advantage in that the overall number of global SDG indicators is not increased.</w:t>
      </w:r>
    </w:p>
    <w:p w:rsidR="004B48B5" w:rsidRPr="004B48B5" w:rsidRDefault="004B48B5" w:rsidP="004B48B5">
      <w:pPr>
        <w:spacing w:line="276" w:lineRule="auto"/>
        <w:ind w:right="280"/>
        <w:jc w:val="both"/>
        <w:rPr>
          <w:rFonts w:ascii="Calibri" w:eastAsia="Times New Roman" w:hAnsi="Calibri"/>
          <w:i/>
          <w:sz w:val="22"/>
          <w:szCs w:val="22"/>
        </w:rPr>
      </w:pPr>
    </w:p>
    <w:p w:rsidR="004B48B5" w:rsidRPr="004B48B5" w:rsidRDefault="004B48B5" w:rsidP="004B48B5">
      <w:pPr>
        <w:spacing w:line="276" w:lineRule="auto"/>
        <w:ind w:right="280"/>
        <w:jc w:val="both"/>
        <w:rPr>
          <w:rFonts w:ascii="Calibri" w:eastAsia="Times New Roman" w:hAnsi="Calibri"/>
          <w:i/>
          <w:sz w:val="22"/>
          <w:szCs w:val="22"/>
        </w:rPr>
      </w:pPr>
      <w:r w:rsidRPr="004B48B5">
        <w:rPr>
          <w:rFonts w:ascii="Calibri" w:eastAsia="Times New Roman" w:hAnsi="Calibri"/>
          <w:i/>
          <w:sz w:val="22"/>
          <w:szCs w:val="22"/>
        </w:rPr>
        <w:t xml:space="preserve">FAO would also like to point out that the alternative proposal included in UNSD’s priority list, ‘trends in land degradation’, relies heavily on FAO data, and is in some sense its mirror image: to reduce land degradation, one needs sustainable land management. This is particularly apparent in the context of the Land Degradation Neutrality strategy of the UNCCD. In this regard, FAO is exploring closer collaboration with UNCCD in order to develop a common approach to this question in the IAEG-SDG process. </w:t>
      </w:r>
    </w:p>
    <w:p w:rsidR="004B48B5" w:rsidRPr="004B48B5" w:rsidRDefault="004B48B5" w:rsidP="004B48B5">
      <w:pPr>
        <w:spacing w:line="276" w:lineRule="auto"/>
        <w:ind w:right="280"/>
        <w:jc w:val="both"/>
        <w:rPr>
          <w:rFonts w:ascii="Calibri" w:eastAsia="Times New Roman" w:hAnsi="Calibri"/>
          <w:sz w:val="22"/>
          <w:szCs w:val="22"/>
        </w:rPr>
      </w:pPr>
    </w:p>
    <w:p w:rsidR="004B48B5" w:rsidRPr="004B48B5" w:rsidRDefault="004B48B5" w:rsidP="004B48B5">
      <w:pPr>
        <w:spacing w:line="276" w:lineRule="auto"/>
        <w:ind w:right="280"/>
        <w:jc w:val="both"/>
        <w:rPr>
          <w:rFonts w:ascii="Calibri" w:eastAsia="Constantia" w:hAnsi="Calibri" w:cs="Consolas"/>
          <w:b/>
          <w:bCs/>
          <w:color w:val="auto"/>
          <w:sz w:val="28"/>
          <w:szCs w:val="28"/>
        </w:rPr>
      </w:pPr>
      <w:r w:rsidRPr="004B48B5">
        <w:rPr>
          <w:rFonts w:ascii="Calibri" w:eastAsia="SimSun" w:hAnsi="Calibri" w:cs="Calibri"/>
          <w:b/>
          <w:bCs/>
          <w:color w:val="00000A"/>
          <w:sz w:val="28"/>
          <w:szCs w:val="28"/>
        </w:rPr>
        <w:br w:type="page"/>
      </w:r>
    </w:p>
    <w:bookmarkStart w:id="6" w:name="Target15_4"/>
    <w:p w:rsidR="004B48B5" w:rsidRPr="004B48B5" w:rsidRDefault="004B48B5" w:rsidP="004B48B5">
      <w:pPr>
        <w:pageBreakBefore/>
        <w:shd w:val="clear" w:color="auto" w:fill="002060"/>
        <w:spacing w:after="200" w:line="276" w:lineRule="auto"/>
        <w:ind w:right="280"/>
        <w:jc w:val="center"/>
        <w:outlineLvl w:val="0"/>
        <w:rPr>
          <w:rFonts w:ascii="Calibri" w:eastAsia="SimSun" w:hAnsi="Calibri"/>
          <w:b/>
          <w:color w:val="FFFFFF"/>
        </w:rPr>
      </w:pPr>
      <w:r w:rsidRPr="004B48B5">
        <w:rPr>
          <w:rFonts w:ascii="Calibri" w:eastAsia="SimSun" w:hAnsi="Calibri" w:cs="Calibri"/>
          <w:color w:val="FFFFFF"/>
          <w:szCs w:val="22"/>
        </w:rPr>
        <w:lastRenderedPageBreak/>
        <w:fldChar w:fldCharType="begin"/>
      </w:r>
      <w:r w:rsidRPr="004B48B5">
        <w:rPr>
          <w:rFonts w:ascii="Calibri" w:eastAsia="SimSun" w:hAnsi="Calibri" w:cs="Calibri"/>
          <w:color w:val="FFFFFF"/>
          <w:szCs w:val="22"/>
        </w:rPr>
        <w:instrText xml:space="preserve"> HYPERLINK \l "List_of_indicators" </w:instrText>
      </w:r>
      <w:r w:rsidRPr="004B48B5">
        <w:rPr>
          <w:rFonts w:ascii="Calibri" w:eastAsia="SimSun" w:hAnsi="Calibri" w:cs="Calibri"/>
          <w:color w:val="FFFFFF"/>
          <w:szCs w:val="22"/>
        </w:rPr>
        <w:fldChar w:fldCharType="separate"/>
      </w:r>
      <w:r w:rsidRPr="004B48B5">
        <w:rPr>
          <w:rFonts w:ascii="Calibri" w:eastAsia="SimSun" w:hAnsi="Calibri"/>
          <w:b/>
          <w:color w:val="FFFFFF"/>
          <w:u w:val="single"/>
        </w:rPr>
        <w:t>Target 15.4</w:t>
      </w:r>
      <w:r w:rsidRPr="004B48B5">
        <w:rPr>
          <w:rFonts w:ascii="Calibri" w:eastAsia="SimSun" w:hAnsi="Calibri"/>
          <w:b/>
          <w:color w:val="FFFFFF"/>
          <w:u w:val="single"/>
        </w:rPr>
        <w:fldChar w:fldCharType="end"/>
      </w:r>
      <w:bookmarkEnd w:id="6"/>
      <w:r w:rsidRPr="004B48B5">
        <w:rPr>
          <w:rFonts w:ascii="Calibri" w:eastAsia="SimSun" w:hAnsi="Calibri"/>
          <w:b/>
          <w:color w:val="FFFFFF"/>
        </w:rPr>
        <w:t xml:space="preserve"> </w:t>
      </w:r>
      <w:r w:rsidRPr="004B48B5">
        <w:rPr>
          <w:rFonts w:ascii="Calibri" w:eastAsia="SimSun" w:hAnsi="Calibri"/>
          <w:b/>
          <w:color w:val="FFFFFF"/>
        </w:rPr>
        <w:br/>
        <w:t>“By 2030, ensure the conservation of mountain ecosystems, including their biodiversity, in order to enhance their capacity to provide benefits that are essential for sustainable development”</w:t>
      </w:r>
    </w:p>
    <w:p w:rsidR="004B48B5" w:rsidRPr="004B48B5" w:rsidRDefault="004B48B5" w:rsidP="004B48B5">
      <w:pPr>
        <w:shd w:val="clear" w:color="auto" w:fill="FFFFFF"/>
        <w:spacing w:after="200" w:line="276" w:lineRule="auto"/>
        <w:ind w:right="280"/>
        <w:jc w:val="center"/>
        <w:rPr>
          <w:rFonts w:eastAsia="SimSun" w:cs="Calibri"/>
          <w:color w:val="00000A"/>
          <w:szCs w:val="22"/>
        </w:rPr>
      </w:pPr>
    </w:p>
    <w:p w:rsidR="004B48B5" w:rsidRPr="004B48B5" w:rsidRDefault="004B48B5" w:rsidP="004B48B5">
      <w:pPr>
        <w:spacing w:line="276" w:lineRule="auto"/>
        <w:ind w:right="280"/>
        <w:jc w:val="both"/>
        <w:rPr>
          <w:rFonts w:ascii="Calibri" w:eastAsia="SimSun" w:hAnsi="Calibri" w:cs="Calibri"/>
          <w:i/>
          <w:color w:val="00000A"/>
          <w:sz w:val="22"/>
          <w:szCs w:val="22"/>
        </w:rPr>
      </w:pPr>
      <w:r w:rsidRPr="004B48B5">
        <w:rPr>
          <w:rFonts w:ascii="Calibri" w:eastAsia="SimSun" w:hAnsi="Calibri" w:cs="Calibri"/>
          <w:i/>
          <w:color w:val="00000A"/>
          <w:sz w:val="22"/>
          <w:szCs w:val="22"/>
        </w:rPr>
        <w:t xml:space="preserve">Even though many protected areas are found in mountains, in general they are not an adequate proxy for the overall global situation of biodiversity conservation in mountain areas. Protected areas, as they name says, are protected from overexploitation as often people are not allowed to live and have economic activities in these areas. The information gathered by monitoring only the situation of mountain protected areas would not, in our views, represent an adequate proxy for monitoring the non-protected areas which in fact can experience high population pressure, deforestation, overexploitation, degradation, etc. that are not found in protected areas. Indeed, “islands” of protected areas can be surrounded by areas that are totally degraded and overexploited especially when communities are not allowed to live in protected areas and therefore tend to amass around them. </w:t>
      </w:r>
    </w:p>
    <w:p w:rsidR="004B48B5" w:rsidRPr="004B48B5" w:rsidRDefault="004B48B5" w:rsidP="004B48B5">
      <w:pPr>
        <w:spacing w:line="276" w:lineRule="auto"/>
        <w:ind w:right="280"/>
        <w:jc w:val="both"/>
        <w:rPr>
          <w:rFonts w:ascii="Calibri" w:eastAsia="SimSun" w:hAnsi="Calibri" w:cs="Calibri"/>
          <w:i/>
          <w:color w:val="00000A"/>
          <w:sz w:val="22"/>
          <w:szCs w:val="22"/>
        </w:rPr>
      </w:pPr>
    </w:p>
    <w:p w:rsidR="004B48B5" w:rsidRPr="004B48B5" w:rsidRDefault="004B48B5" w:rsidP="004B48B5">
      <w:pPr>
        <w:spacing w:line="276" w:lineRule="auto"/>
        <w:ind w:right="280"/>
        <w:jc w:val="both"/>
        <w:rPr>
          <w:rFonts w:ascii="Calibri" w:eastAsia="SimSun" w:hAnsi="Calibri" w:cs="Calibri"/>
          <w:color w:val="00000A"/>
          <w:sz w:val="22"/>
          <w:szCs w:val="22"/>
        </w:rPr>
      </w:pPr>
      <w:r w:rsidRPr="004B48B5">
        <w:rPr>
          <w:rFonts w:ascii="Calibri" w:eastAsia="SimSun" w:hAnsi="Calibri" w:cs="Calibri"/>
          <w:i/>
          <w:color w:val="00000A"/>
          <w:sz w:val="22"/>
          <w:szCs w:val="22"/>
        </w:rPr>
        <w:t>For these reasons, FAO is highly concerned that UNSD’s priority list has only included an indicator based on protected areas. Instead, by adopting the “green cover index” suggested below, all mountain green cover will be assessed and used to analyse the trend. Hence the green cover index seems a more comprehensive and reliable indicator. In addition, as technology develops, it is expected that additional tools will soon be available (such as google earth) to monitor the vegetation cover changes with a very high definition (1sqm or less) and a high frequency (weekly or even daily updates).</w:t>
      </w:r>
      <w:r w:rsidRPr="004B48B5">
        <w:rPr>
          <w:rFonts w:ascii="Calibri" w:eastAsia="SimSun" w:hAnsi="Calibri" w:cs="Calibri"/>
          <w:color w:val="00000A"/>
          <w:sz w:val="22"/>
          <w:szCs w:val="22"/>
        </w:rPr>
        <w:t xml:space="preserve"> </w:t>
      </w:r>
    </w:p>
    <w:p w:rsidR="004B48B5" w:rsidRPr="004B48B5" w:rsidRDefault="004B48B5" w:rsidP="004B48B5">
      <w:pPr>
        <w:spacing w:line="276" w:lineRule="auto"/>
        <w:ind w:right="280"/>
        <w:jc w:val="both"/>
        <w:rPr>
          <w:rFonts w:ascii="Calibri" w:eastAsia="SimSun" w:hAnsi="Calibri" w:cs="Calibri"/>
          <w:color w:val="00000A"/>
          <w:sz w:val="22"/>
          <w:szCs w:val="22"/>
        </w:rPr>
      </w:pPr>
    </w:p>
    <w:p w:rsidR="004B48B5" w:rsidRPr="004B48B5" w:rsidRDefault="004B48B5" w:rsidP="004B48B5">
      <w:pPr>
        <w:spacing w:line="276" w:lineRule="auto"/>
        <w:ind w:right="280"/>
        <w:jc w:val="both"/>
        <w:rPr>
          <w:rFonts w:eastAsia="SimSun" w:cs="Calibri"/>
          <w:i/>
          <w:color w:val="00000A"/>
          <w:szCs w:val="22"/>
        </w:rPr>
      </w:pPr>
      <w:r w:rsidRPr="004B48B5">
        <w:rPr>
          <w:rFonts w:ascii="Calibri" w:eastAsia="SimSun" w:hAnsi="Calibri" w:cs="Calibri"/>
          <w:i/>
          <w:color w:val="00000A"/>
          <w:sz w:val="22"/>
          <w:szCs w:val="22"/>
        </w:rPr>
        <w:t>For the full methodological factsheet of the proposed indicator, please see below.</w:t>
      </w:r>
      <w:r w:rsidRPr="004B48B5">
        <w:rPr>
          <w:rFonts w:eastAsia="SimSun" w:cs="Calibri"/>
          <w:i/>
          <w:color w:val="00000A"/>
          <w:szCs w:val="22"/>
        </w:rPr>
        <w:br w:type="page"/>
      </w:r>
    </w:p>
    <w:bookmarkStart w:id="7" w:name="Indicator_15_4_1"/>
    <w:p w:rsidR="004B48B5" w:rsidRPr="004B48B5" w:rsidRDefault="004B48B5" w:rsidP="004B48B5">
      <w:pPr>
        <w:shd w:val="clear" w:color="auto" w:fill="99FF99"/>
        <w:spacing w:after="200" w:line="276" w:lineRule="auto"/>
        <w:ind w:right="280"/>
        <w:jc w:val="center"/>
        <w:rPr>
          <w:rFonts w:ascii="Calibri" w:eastAsia="SimSun" w:hAnsi="Calibri"/>
          <w:b/>
          <w:color w:val="auto"/>
        </w:rPr>
      </w:pPr>
      <w:r w:rsidRPr="004B48B5">
        <w:rPr>
          <w:rFonts w:eastAsia="SimSun" w:cs="Calibri"/>
          <w:color w:val="auto"/>
          <w:szCs w:val="22"/>
        </w:rPr>
        <w:lastRenderedPageBreak/>
        <w:fldChar w:fldCharType="begin"/>
      </w:r>
      <w:r w:rsidRPr="004B48B5">
        <w:rPr>
          <w:rFonts w:eastAsia="SimSun" w:cs="Calibri"/>
          <w:color w:val="auto"/>
          <w:szCs w:val="22"/>
        </w:rPr>
        <w:instrText>HYPERLINK \l "List_of_indicators"</w:instrText>
      </w:r>
      <w:r w:rsidRPr="004B48B5">
        <w:rPr>
          <w:rFonts w:eastAsia="SimSun" w:cs="Calibri"/>
          <w:color w:val="auto"/>
          <w:szCs w:val="22"/>
        </w:rPr>
        <w:fldChar w:fldCharType="separate"/>
      </w:r>
      <w:r w:rsidRPr="004B48B5">
        <w:rPr>
          <w:rFonts w:ascii="Calibri" w:eastAsia="SimSun" w:hAnsi="Calibri"/>
          <w:b/>
          <w:color w:val="auto"/>
        </w:rPr>
        <w:t>Indicator 15.4.1</w:t>
      </w:r>
      <w:r w:rsidRPr="004B48B5">
        <w:rPr>
          <w:rFonts w:eastAsia="SimSun" w:cs="Calibri"/>
          <w:color w:val="auto"/>
          <w:szCs w:val="22"/>
        </w:rPr>
        <w:fldChar w:fldCharType="end"/>
      </w:r>
      <w:bookmarkEnd w:id="7"/>
      <w:r w:rsidRPr="004B48B5">
        <w:rPr>
          <w:rFonts w:ascii="Calibri" w:eastAsia="SimSun" w:hAnsi="Calibri"/>
          <w:b/>
          <w:color w:val="auto"/>
        </w:rPr>
        <w:t xml:space="preserve"> (Core</w:t>
      </w:r>
      <w:proofErr w:type="gramStart"/>
      <w:r w:rsidRPr="004B48B5">
        <w:rPr>
          <w:rFonts w:ascii="Calibri" w:eastAsia="SimSun" w:hAnsi="Calibri"/>
          <w:b/>
          <w:color w:val="auto"/>
        </w:rPr>
        <w:t>)</w:t>
      </w:r>
      <w:proofErr w:type="gramEnd"/>
      <w:r w:rsidRPr="004B48B5">
        <w:rPr>
          <w:rFonts w:ascii="Calibri" w:eastAsia="SimSun" w:hAnsi="Calibri"/>
          <w:b/>
          <w:color w:val="auto"/>
        </w:rPr>
        <w:br/>
        <w:t>“</w:t>
      </w:r>
      <w:r w:rsidRPr="004B48B5">
        <w:rPr>
          <w:rFonts w:ascii="Calibri" w:eastAsia="SimSun" w:hAnsi="Calibri"/>
          <w:color w:val="auto"/>
        </w:rPr>
        <w:t>Mountain Green Cover Index</w:t>
      </w:r>
      <w:r w:rsidRPr="004B48B5">
        <w:rPr>
          <w:rFonts w:ascii="Calibri" w:eastAsia="SimSun" w:hAnsi="Calibri"/>
          <w:b/>
          <w:color w:val="auto"/>
        </w:rPr>
        <w:t>”</w:t>
      </w:r>
    </w:p>
    <w:p w:rsidR="004B48B5" w:rsidRPr="004B48B5" w:rsidRDefault="004B48B5" w:rsidP="004B48B5">
      <w:pPr>
        <w:numPr>
          <w:ilvl w:val="0"/>
          <w:numId w:val="6"/>
        </w:numPr>
        <w:suppressAutoHyphens/>
        <w:spacing w:before="480" w:after="200" w:line="276" w:lineRule="auto"/>
        <w:ind w:left="714" w:right="280" w:hanging="357"/>
        <w:jc w:val="both"/>
        <w:rPr>
          <w:rFonts w:ascii="Calibri" w:eastAsia="Times New Roman" w:hAnsi="Calibri"/>
          <w:b/>
          <w:bCs/>
          <w:color w:val="auto"/>
          <w:sz w:val="22"/>
          <w:szCs w:val="22"/>
        </w:rPr>
      </w:pPr>
      <w:r w:rsidRPr="004B48B5">
        <w:rPr>
          <w:rFonts w:ascii="Calibri" w:eastAsia="Times New Roman" w:hAnsi="Calibri"/>
          <w:b/>
          <w:bCs/>
          <w:color w:val="auto"/>
          <w:sz w:val="22"/>
          <w:szCs w:val="22"/>
        </w:rPr>
        <w:t>Precise definition of the indicator</w:t>
      </w:r>
    </w:p>
    <w:p w:rsidR="004B48B5" w:rsidRPr="004B48B5" w:rsidRDefault="004B48B5" w:rsidP="004B48B5">
      <w:pPr>
        <w:autoSpaceDE w:val="0"/>
        <w:autoSpaceDN w:val="0"/>
        <w:spacing w:after="120" w:line="276" w:lineRule="auto"/>
        <w:ind w:right="280"/>
        <w:jc w:val="both"/>
        <w:rPr>
          <w:rFonts w:ascii="Calibri" w:eastAsia="Calibri" w:hAnsi="Calibri"/>
          <w:color w:val="auto"/>
          <w:sz w:val="22"/>
          <w:szCs w:val="22"/>
        </w:rPr>
      </w:pPr>
      <w:r w:rsidRPr="004B48B5">
        <w:rPr>
          <w:rFonts w:ascii="Calibri" w:eastAsia="Calibri" w:hAnsi="Calibri"/>
          <w:color w:val="auto"/>
          <w:sz w:val="22"/>
          <w:szCs w:val="22"/>
        </w:rPr>
        <w:t xml:space="preserve">The Green Cover Index is designed to measure the changes of the green vegetation in mountain areas (i.e., forest, shrubs and trees). </w:t>
      </w:r>
    </w:p>
    <w:p w:rsidR="004B48B5" w:rsidRPr="004B48B5" w:rsidRDefault="004B48B5" w:rsidP="004B48B5">
      <w:pPr>
        <w:numPr>
          <w:ilvl w:val="0"/>
          <w:numId w:val="6"/>
        </w:numPr>
        <w:suppressAutoHyphens/>
        <w:spacing w:before="480" w:after="200" w:line="276" w:lineRule="auto"/>
        <w:ind w:left="714" w:right="280" w:hanging="357"/>
        <w:jc w:val="both"/>
        <w:rPr>
          <w:rFonts w:ascii="Calibri" w:eastAsia="Times New Roman" w:hAnsi="Calibri"/>
          <w:b/>
          <w:bCs/>
          <w:color w:val="auto"/>
          <w:sz w:val="22"/>
          <w:szCs w:val="22"/>
        </w:rPr>
      </w:pPr>
      <w:r w:rsidRPr="004B48B5">
        <w:rPr>
          <w:rFonts w:ascii="Calibri" w:eastAsia="Times New Roman" w:hAnsi="Calibri"/>
          <w:b/>
          <w:bCs/>
          <w:color w:val="auto"/>
          <w:sz w:val="22"/>
          <w:szCs w:val="22"/>
        </w:rPr>
        <w:t>How is the indicator linked to the specific TARGET as worded in the OWG Report?</w:t>
      </w:r>
      <w:r w:rsidRPr="004B48B5">
        <w:rPr>
          <w:rFonts w:ascii="Calibri" w:eastAsia="Times New Roman" w:hAnsi="Calibri"/>
          <w:color w:val="auto"/>
          <w:sz w:val="22"/>
          <w:szCs w:val="22"/>
        </w:rPr>
        <w:t xml:space="preserve"> </w:t>
      </w:r>
    </w:p>
    <w:p w:rsidR="004B48B5" w:rsidRPr="004B48B5" w:rsidRDefault="004B48B5" w:rsidP="004B48B5">
      <w:pPr>
        <w:autoSpaceDE w:val="0"/>
        <w:autoSpaceDN w:val="0"/>
        <w:spacing w:after="120" w:line="276" w:lineRule="auto"/>
        <w:ind w:right="280"/>
        <w:jc w:val="both"/>
        <w:rPr>
          <w:rFonts w:ascii="Calibri" w:eastAsia="Calibri" w:hAnsi="Calibri"/>
          <w:color w:val="auto"/>
          <w:sz w:val="22"/>
          <w:szCs w:val="22"/>
        </w:rPr>
      </w:pPr>
      <w:r w:rsidRPr="004B48B5">
        <w:rPr>
          <w:rFonts w:ascii="Calibri" w:eastAsia="Calibri" w:hAnsi="Calibri"/>
          <w:color w:val="auto"/>
          <w:sz w:val="22"/>
          <w:szCs w:val="22"/>
        </w:rPr>
        <w:t xml:space="preserve">The scientific mountain community recognizes the existence of a direct correlation between the green coverage of mountain areas and their state of health, and – as a consequence – their capacity of fulfilling their ecosystem roles. Therefore, monitoring the mountain vegetation change over time provides an adequate measure of the status of conservation of mountain ecosystems. </w:t>
      </w:r>
    </w:p>
    <w:p w:rsidR="004B48B5" w:rsidRPr="004B48B5" w:rsidRDefault="004B48B5" w:rsidP="004B48B5">
      <w:pPr>
        <w:autoSpaceDE w:val="0"/>
        <w:autoSpaceDN w:val="0"/>
        <w:spacing w:after="120" w:line="276" w:lineRule="auto"/>
        <w:ind w:right="280"/>
        <w:jc w:val="both"/>
        <w:rPr>
          <w:rFonts w:ascii="Calibri" w:eastAsia="Calibri" w:hAnsi="Calibri"/>
          <w:color w:val="auto"/>
          <w:sz w:val="22"/>
          <w:szCs w:val="22"/>
        </w:rPr>
      </w:pPr>
      <w:r w:rsidRPr="004B48B5">
        <w:rPr>
          <w:rFonts w:ascii="Calibri" w:eastAsia="Calibri" w:hAnsi="Calibri"/>
          <w:color w:val="auto"/>
          <w:sz w:val="22"/>
          <w:szCs w:val="22"/>
        </w:rPr>
        <w:t>In particular, the “Mountain Green Cover Index” can provide information on the forest and woody cover. Its reduction will be generally linked to forest exploitation, timber extraction, fuel-wood collection, and fire. Its increase will be due to vegetation growth possibly linked to reforestation or afforestation programmes.</w:t>
      </w:r>
    </w:p>
    <w:p w:rsidR="004B48B5" w:rsidRPr="004B48B5" w:rsidRDefault="004B48B5" w:rsidP="004B48B5">
      <w:pPr>
        <w:spacing w:after="120" w:line="276" w:lineRule="auto"/>
        <w:ind w:right="280"/>
        <w:jc w:val="both"/>
        <w:rPr>
          <w:rFonts w:ascii="Calibri" w:eastAsia="Times New Roman" w:hAnsi="Calibri"/>
          <w:bCs/>
          <w:color w:val="auto"/>
          <w:sz w:val="22"/>
          <w:szCs w:val="22"/>
        </w:rPr>
      </w:pPr>
      <w:r w:rsidRPr="004B48B5">
        <w:rPr>
          <w:rFonts w:ascii="Calibri" w:eastAsia="Times New Roman" w:hAnsi="Calibri"/>
          <w:bCs/>
          <w:color w:val="auto"/>
          <w:sz w:val="22"/>
          <w:szCs w:val="22"/>
        </w:rPr>
        <w:t xml:space="preserve">The proposed Index will provide a meaningful proxy for assessing the progress of </w:t>
      </w:r>
      <w:r w:rsidRPr="004B48B5">
        <w:rPr>
          <w:rFonts w:ascii="Calibri" w:eastAsia="Times New Roman" w:hAnsi="Calibri"/>
          <w:bCs/>
          <w:color w:val="auto"/>
          <w:sz w:val="22"/>
          <w:szCs w:val="22"/>
          <w:u w:val="single"/>
        </w:rPr>
        <w:t>all three mountain targets</w:t>
      </w:r>
      <w:r w:rsidRPr="004B48B5">
        <w:rPr>
          <w:rFonts w:ascii="Calibri" w:eastAsia="Times New Roman" w:hAnsi="Calibri"/>
          <w:bCs/>
          <w:color w:val="auto"/>
          <w:sz w:val="22"/>
          <w:szCs w:val="22"/>
        </w:rPr>
        <w:t xml:space="preserve"> (i.e., 6.6.; 15.1; and 15.4). If an order of relevance is needed, this is our proposed ranking:</w:t>
      </w:r>
    </w:p>
    <w:p w:rsidR="004B48B5" w:rsidRPr="004B48B5" w:rsidRDefault="004B48B5" w:rsidP="004B48B5">
      <w:pPr>
        <w:numPr>
          <w:ilvl w:val="0"/>
          <w:numId w:val="5"/>
        </w:numPr>
        <w:suppressAutoHyphens/>
        <w:spacing w:after="120" w:line="276" w:lineRule="auto"/>
        <w:ind w:left="714" w:right="280" w:hanging="357"/>
        <w:contextualSpacing/>
        <w:jc w:val="both"/>
        <w:rPr>
          <w:rFonts w:ascii="Calibri" w:eastAsia="Times New Roman" w:hAnsi="Calibri"/>
          <w:bCs/>
          <w:color w:val="auto"/>
          <w:sz w:val="22"/>
          <w:szCs w:val="22"/>
        </w:rPr>
      </w:pPr>
      <w:r w:rsidRPr="004B48B5">
        <w:rPr>
          <w:rFonts w:ascii="Calibri" w:eastAsia="Times New Roman" w:hAnsi="Calibri"/>
          <w:bCs/>
          <w:color w:val="auto"/>
          <w:sz w:val="22"/>
          <w:szCs w:val="22"/>
        </w:rPr>
        <w:t>15.4</w:t>
      </w:r>
    </w:p>
    <w:p w:rsidR="004B48B5" w:rsidRPr="004B48B5" w:rsidRDefault="004B48B5" w:rsidP="004B48B5">
      <w:pPr>
        <w:numPr>
          <w:ilvl w:val="0"/>
          <w:numId w:val="5"/>
        </w:numPr>
        <w:suppressAutoHyphens/>
        <w:spacing w:after="120" w:line="276" w:lineRule="auto"/>
        <w:ind w:left="714" w:right="280" w:hanging="357"/>
        <w:contextualSpacing/>
        <w:jc w:val="both"/>
        <w:rPr>
          <w:rFonts w:ascii="Calibri" w:eastAsia="Times New Roman" w:hAnsi="Calibri"/>
          <w:bCs/>
          <w:color w:val="auto"/>
          <w:sz w:val="22"/>
          <w:szCs w:val="22"/>
        </w:rPr>
      </w:pPr>
      <w:r w:rsidRPr="004B48B5">
        <w:rPr>
          <w:rFonts w:ascii="Calibri" w:eastAsia="Times New Roman" w:hAnsi="Calibri"/>
          <w:bCs/>
          <w:color w:val="auto"/>
          <w:sz w:val="22"/>
          <w:szCs w:val="22"/>
        </w:rPr>
        <w:t>15.1</w:t>
      </w:r>
    </w:p>
    <w:p w:rsidR="004B48B5" w:rsidRPr="004B48B5" w:rsidRDefault="004B48B5" w:rsidP="004B48B5">
      <w:pPr>
        <w:numPr>
          <w:ilvl w:val="0"/>
          <w:numId w:val="5"/>
        </w:numPr>
        <w:suppressAutoHyphens/>
        <w:spacing w:after="120" w:line="276" w:lineRule="auto"/>
        <w:ind w:left="714" w:right="280" w:hanging="357"/>
        <w:contextualSpacing/>
        <w:jc w:val="both"/>
        <w:rPr>
          <w:rFonts w:ascii="Calibri" w:eastAsia="Times New Roman" w:hAnsi="Calibri"/>
          <w:bCs/>
          <w:color w:val="auto"/>
          <w:sz w:val="22"/>
          <w:szCs w:val="22"/>
        </w:rPr>
      </w:pPr>
      <w:r w:rsidRPr="004B48B5">
        <w:rPr>
          <w:rFonts w:ascii="Calibri" w:eastAsia="Times New Roman" w:hAnsi="Calibri"/>
          <w:bCs/>
          <w:color w:val="auto"/>
          <w:sz w:val="22"/>
          <w:szCs w:val="22"/>
        </w:rPr>
        <w:t>6.6</w:t>
      </w:r>
    </w:p>
    <w:p w:rsidR="004B48B5" w:rsidRPr="004B48B5" w:rsidRDefault="004B48B5" w:rsidP="004B48B5">
      <w:pPr>
        <w:spacing w:after="120" w:line="276" w:lineRule="auto"/>
        <w:ind w:right="280"/>
        <w:jc w:val="both"/>
        <w:rPr>
          <w:rFonts w:ascii="Calibri" w:eastAsia="Calibri" w:hAnsi="Calibri"/>
          <w:color w:val="auto"/>
          <w:sz w:val="22"/>
          <w:szCs w:val="22"/>
        </w:rPr>
      </w:pPr>
      <w:r w:rsidRPr="004B48B5">
        <w:rPr>
          <w:rFonts w:ascii="Calibri" w:eastAsia="Calibri" w:hAnsi="Calibri"/>
          <w:color w:val="auto"/>
          <w:sz w:val="22"/>
          <w:szCs w:val="22"/>
        </w:rPr>
        <w:t>We assign priority to 15.4 because this is solely “pure” mountain indicator.</w:t>
      </w:r>
    </w:p>
    <w:p w:rsidR="004B48B5" w:rsidRPr="004B48B5" w:rsidRDefault="004B48B5" w:rsidP="004B48B5">
      <w:pPr>
        <w:numPr>
          <w:ilvl w:val="0"/>
          <w:numId w:val="6"/>
        </w:numPr>
        <w:suppressAutoHyphens/>
        <w:spacing w:before="480" w:after="200" w:line="276" w:lineRule="auto"/>
        <w:ind w:left="714" w:right="280" w:hanging="357"/>
        <w:jc w:val="both"/>
        <w:rPr>
          <w:rFonts w:ascii="Calibri" w:eastAsia="Times New Roman" w:hAnsi="Calibri"/>
          <w:b/>
          <w:bCs/>
          <w:color w:val="auto"/>
          <w:sz w:val="22"/>
          <w:szCs w:val="22"/>
        </w:rPr>
      </w:pPr>
      <w:r w:rsidRPr="004B48B5">
        <w:rPr>
          <w:rFonts w:ascii="Calibri" w:eastAsia="Times New Roman" w:hAnsi="Calibri"/>
          <w:b/>
          <w:bCs/>
          <w:color w:val="auto"/>
          <w:sz w:val="22"/>
          <w:szCs w:val="22"/>
        </w:rPr>
        <w:t xml:space="preserve">Does the indicator already exist and is it regularly reported? </w:t>
      </w:r>
    </w:p>
    <w:p w:rsidR="004B48B5" w:rsidRPr="004B48B5" w:rsidRDefault="004B48B5" w:rsidP="004B48B5">
      <w:pPr>
        <w:spacing w:after="120" w:line="276" w:lineRule="auto"/>
        <w:ind w:right="280"/>
        <w:jc w:val="both"/>
        <w:rPr>
          <w:rFonts w:ascii="Calibri" w:eastAsia="Calibri" w:hAnsi="Calibri"/>
          <w:b/>
          <w:bCs/>
          <w:color w:val="auto"/>
          <w:sz w:val="22"/>
          <w:szCs w:val="22"/>
        </w:rPr>
      </w:pPr>
      <w:r w:rsidRPr="004B48B5">
        <w:rPr>
          <w:rFonts w:ascii="Calibri" w:eastAsia="Calibri" w:hAnsi="Calibri"/>
          <w:color w:val="auto"/>
          <w:sz w:val="22"/>
          <w:szCs w:val="22"/>
        </w:rPr>
        <w:t>This indicator does not exist yet but it can be developed using the existing dataset Global Land Cover (GLC) SHARE maintained by FAO’s NRL Division.</w:t>
      </w:r>
    </w:p>
    <w:p w:rsidR="004B48B5" w:rsidRPr="004B48B5" w:rsidRDefault="004B48B5" w:rsidP="004B48B5">
      <w:pPr>
        <w:autoSpaceDE w:val="0"/>
        <w:autoSpaceDN w:val="0"/>
        <w:spacing w:after="120" w:line="276" w:lineRule="auto"/>
        <w:ind w:right="280"/>
        <w:jc w:val="both"/>
        <w:rPr>
          <w:rFonts w:ascii="Calibri" w:eastAsia="Calibri" w:hAnsi="Calibri"/>
          <w:color w:val="auto"/>
          <w:sz w:val="22"/>
          <w:szCs w:val="22"/>
        </w:rPr>
      </w:pPr>
      <w:r w:rsidRPr="004B48B5">
        <w:rPr>
          <w:rFonts w:ascii="Calibri" w:eastAsia="Calibri" w:hAnsi="Calibri"/>
          <w:color w:val="auto"/>
          <w:sz w:val="22"/>
          <w:szCs w:val="22"/>
        </w:rPr>
        <w:t xml:space="preserve">The data set GLC SHARE developed by FAO’s NRL Division will be used as </w:t>
      </w:r>
      <w:r w:rsidRPr="004B48B5">
        <w:rPr>
          <w:rFonts w:ascii="Calibri" w:eastAsia="Calibri" w:hAnsi="Calibri"/>
          <w:bCs/>
          <w:color w:val="auto"/>
          <w:sz w:val="22"/>
          <w:szCs w:val="22"/>
        </w:rPr>
        <w:t xml:space="preserve">basis for the computation of the indicator, </w:t>
      </w:r>
      <w:r w:rsidRPr="004B48B5">
        <w:rPr>
          <w:rFonts w:ascii="Calibri" w:eastAsia="Calibri" w:hAnsi="Calibri"/>
          <w:color w:val="auto"/>
          <w:sz w:val="22"/>
          <w:szCs w:val="22"/>
        </w:rPr>
        <w:t>jointly with the definition of mountain areas as provided by UNEP-WCMC</w:t>
      </w:r>
    </w:p>
    <w:p w:rsidR="004B48B5" w:rsidRPr="004B48B5" w:rsidRDefault="004B48B5" w:rsidP="004B48B5">
      <w:pPr>
        <w:spacing w:after="120" w:line="276" w:lineRule="auto"/>
        <w:ind w:right="280"/>
        <w:jc w:val="both"/>
        <w:rPr>
          <w:rFonts w:ascii="Calibri" w:eastAsia="Calibri" w:hAnsi="Calibri"/>
          <w:color w:val="auto"/>
          <w:sz w:val="22"/>
          <w:szCs w:val="22"/>
        </w:rPr>
      </w:pPr>
      <w:r w:rsidRPr="004B48B5">
        <w:rPr>
          <w:rFonts w:ascii="Calibri" w:eastAsia="Calibri" w:hAnsi="Calibri"/>
          <w:color w:val="auto"/>
          <w:sz w:val="22"/>
          <w:szCs w:val="22"/>
        </w:rPr>
        <w:t>Produced in 2000 by UNEP-WCMC, the first map of the world’s mountains defined them according to altitude, slope and local elevation range</w:t>
      </w:r>
      <w:r w:rsidRPr="004B48B5">
        <w:rPr>
          <w:rFonts w:ascii="Calibri" w:eastAsia="Calibri" w:hAnsi="Calibri"/>
          <w:color w:val="auto"/>
          <w:sz w:val="22"/>
          <w:szCs w:val="22"/>
          <w:vertAlign w:val="superscript"/>
        </w:rPr>
        <w:footnoteReference w:id="2"/>
      </w:r>
      <w:r w:rsidRPr="004B48B5">
        <w:rPr>
          <w:rFonts w:ascii="Calibri" w:eastAsia="Calibri" w:hAnsi="Calibri"/>
          <w:color w:val="auto"/>
          <w:sz w:val="22"/>
          <w:szCs w:val="22"/>
        </w:rPr>
        <w:t xml:space="preserve">: </w:t>
      </w:r>
    </w:p>
    <w:p w:rsidR="004B48B5" w:rsidRPr="004B48B5" w:rsidRDefault="004B48B5" w:rsidP="004B48B5">
      <w:pPr>
        <w:autoSpaceDE w:val="0"/>
        <w:autoSpaceDN w:val="0"/>
        <w:spacing w:line="276" w:lineRule="auto"/>
        <w:ind w:left="720" w:right="280"/>
        <w:jc w:val="both"/>
        <w:rPr>
          <w:rFonts w:ascii="Calibri" w:eastAsia="Calibri" w:hAnsi="Calibri"/>
          <w:color w:val="auto"/>
          <w:sz w:val="20"/>
          <w:szCs w:val="20"/>
        </w:rPr>
      </w:pPr>
      <w:r w:rsidRPr="004B48B5">
        <w:rPr>
          <w:rFonts w:ascii="Calibri" w:eastAsia="Calibri" w:hAnsi="Calibri"/>
          <w:color w:val="auto"/>
          <w:sz w:val="20"/>
          <w:szCs w:val="20"/>
        </w:rPr>
        <w:t>Class 1:</w:t>
      </w:r>
      <w:r w:rsidRPr="004B48B5">
        <w:rPr>
          <w:rFonts w:ascii="Calibri" w:eastAsia="Calibri" w:hAnsi="Calibri"/>
          <w:color w:val="auto"/>
          <w:sz w:val="20"/>
          <w:szCs w:val="20"/>
        </w:rPr>
        <w:tab/>
      </w:r>
      <w:r w:rsidRPr="004B48B5">
        <w:rPr>
          <w:rFonts w:ascii="Calibri" w:eastAsia="Calibri" w:hAnsi="Calibri"/>
          <w:color w:val="auto"/>
          <w:sz w:val="20"/>
          <w:szCs w:val="20"/>
        </w:rPr>
        <w:tab/>
        <w:t>Elevation &gt; 4,500 metres</w:t>
      </w:r>
    </w:p>
    <w:p w:rsidR="004B48B5" w:rsidRPr="004B48B5" w:rsidRDefault="004B48B5" w:rsidP="004B48B5">
      <w:pPr>
        <w:autoSpaceDE w:val="0"/>
        <w:autoSpaceDN w:val="0"/>
        <w:spacing w:line="276" w:lineRule="auto"/>
        <w:ind w:left="720" w:right="280"/>
        <w:jc w:val="both"/>
        <w:rPr>
          <w:rFonts w:ascii="Calibri" w:eastAsia="Calibri" w:hAnsi="Calibri"/>
          <w:color w:val="auto"/>
          <w:sz w:val="20"/>
          <w:szCs w:val="20"/>
        </w:rPr>
      </w:pPr>
      <w:r w:rsidRPr="004B48B5">
        <w:rPr>
          <w:rFonts w:ascii="Calibri" w:eastAsia="Calibri" w:hAnsi="Calibri"/>
          <w:color w:val="auto"/>
          <w:sz w:val="20"/>
          <w:szCs w:val="20"/>
        </w:rPr>
        <w:t>Class 2:</w:t>
      </w:r>
      <w:r w:rsidRPr="004B48B5">
        <w:rPr>
          <w:rFonts w:ascii="Calibri" w:eastAsia="Calibri" w:hAnsi="Calibri"/>
          <w:color w:val="auto"/>
          <w:sz w:val="20"/>
          <w:szCs w:val="20"/>
        </w:rPr>
        <w:tab/>
      </w:r>
      <w:r w:rsidRPr="004B48B5">
        <w:rPr>
          <w:rFonts w:ascii="Calibri" w:eastAsia="Calibri" w:hAnsi="Calibri"/>
          <w:color w:val="auto"/>
          <w:sz w:val="20"/>
          <w:szCs w:val="20"/>
        </w:rPr>
        <w:tab/>
        <w:t>Elevation 3,500–4,500 metres</w:t>
      </w:r>
    </w:p>
    <w:p w:rsidR="004B48B5" w:rsidRPr="004B48B5" w:rsidRDefault="004B48B5" w:rsidP="004B48B5">
      <w:pPr>
        <w:autoSpaceDE w:val="0"/>
        <w:autoSpaceDN w:val="0"/>
        <w:spacing w:line="276" w:lineRule="auto"/>
        <w:ind w:left="720" w:right="280"/>
        <w:jc w:val="both"/>
        <w:rPr>
          <w:rFonts w:ascii="Calibri" w:eastAsia="Calibri" w:hAnsi="Calibri"/>
          <w:color w:val="auto"/>
          <w:sz w:val="20"/>
          <w:szCs w:val="20"/>
        </w:rPr>
      </w:pPr>
      <w:r w:rsidRPr="004B48B5">
        <w:rPr>
          <w:rFonts w:ascii="Calibri" w:eastAsia="Calibri" w:hAnsi="Calibri"/>
          <w:color w:val="auto"/>
          <w:sz w:val="20"/>
          <w:szCs w:val="20"/>
        </w:rPr>
        <w:lastRenderedPageBreak/>
        <w:t>Class 3:</w:t>
      </w:r>
      <w:r w:rsidRPr="004B48B5">
        <w:rPr>
          <w:rFonts w:ascii="Calibri" w:eastAsia="Calibri" w:hAnsi="Calibri"/>
          <w:color w:val="auto"/>
          <w:sz w:val="20"/>
          <w:szCs w:val="20"/>
        </w:rPr>
        <w:tab/>
      </w:r>
      <w:r w:rsidRPr="004B48B5">
        <w:rPr>
          <w:rFonts w:ascii="Calibri" w:eastAsia="Calibri" w:hAnsi="Calibri"/>
          <w:color w:val="auto"/>
          <w:sz w:val="20"/>
          <w:szCs w:val="20"/>
        </w:rPr>
        <w:tab/>
        <w:t>Elevation 2,500–3,500 metres</w:t>
      </w:r>
    </w:p>
    <w:p w:rsidR="004B48B5" w:rsidRPr="004B48B5" w:rsidRDefault="004B48B5" w:rsidP="004B48B5">
      <w:pPr>
        <w:autoSpaceDE w:val="0"/>
        <w:autoSpaceDN w:val="0"/>
        <w:spacing w:line="276" w:lineRule="auto"/>
        <w:ind w:left="720" w:right="280"/>
        <w:jc w:val="both"/>
        <w:rPr>
          <w:rFonts w:ascii="Calibri" w:eastAsia="Calibri" w:hAnsi="Calibri"/>
          <w:color w:val="auto"/>
          <w:sz w:val="20"/>
          <w:szCs w:val="20"/>
        </w:rPr>
      </w:pPr>
      <w:r w:rsidRPr="004B48B5">
        <w:rPr>
          <w:rFonts w:ascii="Calibri" w:eastAsia="Calibri" w:hAnsi="Calibri"/>
          <w:color w:val="auto"/>
          <w:sz w:val="20"/>
          <w:szCs w:val="20"/>
        </w:rPr>
        <w:t>Class 4:</w:t>
      </w:r>
      <w:r w:rsidRPr="004B48B5">
        <w:rPr>
          <w:rFonts w:ascii="Calibri" w:eastAsia="Calibri" w:hAnsi="Calibri"/>
          <w:color w:val="auto"/>
          <w:sz w:val="20"/>
          <w:szCs w:val="20"/>
        </w:rPr>
        <w:tab/>
      </w:r>
      <w:r w:rsidRPr="004B48B5">
        <w:rPr>
          <w:rFonts w:ascii="Calibri" w:eastAsia="Calibri" w:hAnsi="Calibri"/>
          <w:color w:val="auto"/>
          <w:sz w:val="20"/>
          <w:szCs w:val="20"/>
        </w:rPr>
        <w:tab/>
        <w:t>Elevation 1,500–2,500 metres and slope &gt; 2</w:t>
      </w:r>
    </w:p>
    <w:p w:rsidR="004B48B5" w:rsidRPr="004B48B5" w:rsidRDefault="004B48B5" w:rsidP="004B48B5">
      <w:pPr>
        <w:autoSpaceDE w:val="0"/>
        <w:autoSpaceDN w:val="0"/>
        <w:spacing w:line="276" w:lineRule="auto"/>
        <w:ind w:left="2160" w:right="280" w:hanging="1440"/>
        <w:jc w:val="both"/>
        <w:rPr>
          <w:rFonts w:ascii="Calibri" w:eastAsia="Calibri" w:hAnsi="Calibri"/>
          <w:color w:val="auto"/>
          <w:sz w:val="20"/>
          <w:szCs w:val="20"/>
        </w:rPr>
      </w:pPr>
      <w:r w:rsidRPr="004B48B5">
        <w:rPr>
          <w:rFonts w:ascii="Calibri" w:eastAsia="Calibri" w:hAnsi="Calibri"/>
          <w:color w:val="auto"/>
          <w:sz w:val="20"/>
          <w:szCs w:val="20"/>
        </w:rPr>
        <w:t>Class 5:</w:t>
      </w:r>
      <w:r w:rsidRPr="004B48B5">
        <w:rPr>
          <w:rFonts w:ascii="Calibri" w:eastAsia="Calibri" w:hAnsi="Calibri"/>
          <w:color w:val="auto"/>
          <w:sz w:val="20"/>
          <w:szCs w:val="20"/>
        </w:rPr>
        <w:tab/>
        <w:t>Elevation 1,000–1,500 metres and slope &gt; 5 or local elevation range (</w:t>
      </w:r>
      <w:proofErr w:type="gramStart"/>
      <w:r w:rsidRPr="004B48B5">
        <w:rPr>
          <w:rFonts w:ascii="Calibri" w:eastAsia="Calibri" w:hAnsi="Calibri"/>
          <w:color w:val="auto"/>
          <w:sz w:val="20"/>
          <w:szCs w:val="20"/>
        </w:rPr>
        <w:t>LER</w:t>
      </w:r>
      <w:r w:rsidRPr="004B48B5">
        <w:rPr>
          <w:rFonts w:ascii="Calibri" w:eastAsia="Calibri" w:hAnsi="Calibri"/>
          <w:color w:val="auto"/>
          <w:sz w:val="20"/>
          <w:szCs w:val="20"/>
          <w:vertAlign w:val="superscript"/>
        </w:rPr>
        <w:t>(</w:t>
      </w:r>
      <w:proofErr w:type="gramEnd"/>
      <w:r w:rsidRPr="004B48B5">
        <w:rPr>
          <w:rFonts w:ascii="Calibri" w:eastAsia="Calibri" w:hAnsi="Calibri"/>
          <w:color w:val="auto"/>
          <w:sz w:val="20"/>
          <w:szCs w:val="20"/>
          <w:vertAlign w:val="superscript"/>
        </w:rPr>
        <w:t>*)</w:t>
      </w:r>
      <w:r w:rsidRPr="004B48B5">
        <w:rPr>
          <w:rFonts w:ascii="Calibri" w:eastAsia="Calibri" w:hAnsi="Calibri"/>
          <w:color w:val="auto"/>
          <w:sz w:val="20"/>
          <w:szCs w:val="20"/>
        </w:rPr>
        <w:t xml:space="preserve"> 7 kilometre radius) &gt; 300 metres</w:t>
      </w:r>
    </w:p>
    <w:p w:rsidR="004B48B5" w:rsidRPr="004B48B5" w:rsidRDefault="004B48B5" w:rsidP="004B48B5">
      <w:pPr>
        <w:autoSpaceDE w:val="0"/>
        <w:autoSpaceDN w:val="0"/>
        <w:spacing w:line="276" w:lineRule="auto"/>
        <w:ind w:left="2160" w:right="280" w:hanging="1440"/>
        <w:jc w:val="both"/>
        <w:rPr>
          <w:rFonts w:ascii="Calibri" w:eastAsia="Calibri" w:hAnsi="Calibri"/>
          <w:color w:val="auto"/>
          <w:sz w:val="20"/>
          <w:szCs w:val="20"/>
        </w:rPr>
      </w:pPr>
      <w:r w:rsidRPr="004B48B5">
        <w:rPr>
          <w:rFonts w:ascii="Calibri" w:eastAsia="Calibri" w:hAnsi="Calibri"/>
          <w:color w:val="auto"/>
          <w:sz w:val="20"/>
          <w:szCs w:val="20"/>
        </w:rPr>
        <w:t>Class 6:</w:t>
      </w:r>
      <w:r w:rsidRPr="004B48B5">
        <w:rPr>
          <w:rFonts w:ascii="Calibri" w:eastAsia="Calibri" w:hAnsi="Calibri"/>
          <w:color w:val="auto"/>
          <w:sz w:val="20"/>
          <w:szCs w:val="20"/>
        </w:rPr>
        <w:tab/>
        <w:t>Elevation 300–1,000 metres and local elevation range (7 kilometre radius) &gt; 300 metres outside 23N—19S</w:t>
      </w:r>
    </w:p>
    <w:p w:rsidR="004B48B5" w:rsidRPr="004B48B5" w:rsidRDefault="004B48B5" w:rsidP="004B48B5">
      <w:pPr>
        <w:autoSpaceDE w:val="0"/>
        <w:autoSpaceDN w:val="0"/>
        <w:spacing w:line="276" w:lineRule="auto"/>
        <w:ind w:left="2160" w:right="280" w:hanging="1440"/>
        <w:jc w:val="both"/>
        <w:rPr>
          <w:rFonts w:ascii="Calibri" w:eastAsia="Calibri" w:hAnsi="Calibri"/>
          <w:color w:val="auto"/>
          <w:sz w:val="20"/>
          <w:szCs w:val="20"/>
        </w:rPr>
      </w:pPr>
    </w:p>
    <w:p w:rsidR="004B48B5" w:rsidRPr="004B48B5" w:rsidRDefault="004B48B5" w:rsidP="004B48B5">
      <w:pPr>
        <w:spacing w:after="120" w:line="276" w:lineRule="auto"/>
        <w:ind w:right="280"/>
        <w:jc w:val="both"/>
        <w:rPr>
          <w:rFonts w:ascii="Calibri" w:eastAsia="Calibri" w:hAnsi="Calibri"/>
          <w:sz w:val="22"/>
          <w:szCs w:val="22"/>
        </w:rPr>
      </w:pPr>
      <w:r w:rsidRPr="004B48B5">
        <w:rPr>
          <w:rFonts w:ascii="Calibri" w:eastAsia="Calibri" w:hAnsi="Calibri"/>
          <w:sz w:val="22"/>
          <w:szCs w:val="22"/>
        </w:rPr>
        <w:t xml:space="preserve">As a first step and in order to define the baseline, the exercise will initially provide an overview of the current vegetation cover in mountain areas (based on GLC-SHARE 2014), and will include maps and area calculations of the current amount of woody vegetation (trees/shrubs) cover for each country, region and at global level and also by mountain class layer. </w:t>
      </w:r>
    </w:p>
    <w:p w:rsidR="004B48B5" w:rsidRPr="004B48B5" w:rsidRDefault="004B48B5" w:rsidP="004B48B5">
      <w:pPr>
        <w:spacing w:after="120" w:line="276" w:lineRule="auto"/>
        <w:ind w:right="280"/>
        <w:jc w:val="both"/>
        <w:rPr>
          <w:rFonts w:ascii="Calibri" w:eastAsia="Calibri" w:hAnsi="Calibri"/>
          <w:sz w:val="22"/>
          <w:szCs w:val="22"/>
        </w:rPr>
      </w:pPr>
      <w:r w:rsidRPr="004B48B5">
        <w:rPr>
          <w:rFonts w:ascii="Calibri" w:eastAsia="Calibri" w:hAnsi="Calibri"/>
          <w:sz w:val="22"/>
          <w:szCs w:val="22"/>
        </w:rPr>
        <w:t xml:space="preserve">In five years’ time, a comparison will be undertaken between GLC-SHARE 2014 and that of 2019 from which a trend will be extrapolated.  </w:t>
      </w:r>
    </w:p>
    <w:p w:rsidR="004B48B5" w:rsidRPr="004B48B5" w:rsidRDefault="004B48B5" w:rsidP="004B48B5">
      <w:pPr>
        <w:spacing w:after="120" w:line="276" w:lineRule="auto"/>
        <w:ind w:right="280"/>
        <w:jc w:val="both"/>
        <w:rPr>
          <w:rFonts w:ascii="Calibri" w:eastAsia="Calibri" w:hAnsi="Calibri"/>
          <w:sz w:val="22"/>
          <w:szCs w:val="22"/>
        </w:rPr>
      </w:pPr>
      <w:r w:rsidRPr="004B48B5">
        <w:rPr>
          <w:rFonts w:ascii="Calibri" w:eastAsia="Calibri" w:hAnsi="Calibri"/>
          <w:sz w:val="22"/>
          <w:szCs w:val="22"/>
        </w:rPr>
        <w:t>This five-year monitoring cycle is subject to the release of  the GLC-SHARE data compiled by FAO’s  Land and Water Division (NRL); the monitoring and analysis will be under the responsibility of the Forest Conservation and Management Division and in particular of the Mountain Partnership Secretariat.</w:t>
      </w:r>
    </w:p>
    <w:p w:rsidR="004B48B5" w:rsidRPr="004B48B5" w:rsidRDefault="004B48B5" w:rsidP="004B48B5">
      <w:pPr>
        <w:numPr>
          <w:ilvl w:val="0"/>
          <w:numId w:val="6"/>
        </w:numPr>
        <w:suppressAutoHyphens/>
        <w:spacing w:before="480" w:after="200" w:line="276" w:lineRule="auto"/>
        <w:ind w:left="714" w:right="280" w:hanging="357"/>
        <w:jc w:val="both"/>
        <w:rPr>
          <w:rFonts w:ascii="Calibri" w:eastAsia="Times New Roman" w:hAnsi="Calibri"/>
          <w:b/>
          <w:bCs/>
          <w:color w:val="auto"/>
          <w:sz w:val="22"/>
          <w:szCs w:val="22"/>
        </w:rPr>
      </w:pPr>
      <w:r w:rsidRPr="004B48B5">
        <w:rPr>
          <w:rFonts w:ascii="Calibri" w:eastAsia="Times New Roman" w:hAnsi="Calibri"/>
          <w:b/>
          <w:bCs/>
          <w:color w:val="auto"/>
          <w:sz w:val="22"/>
          <w:szCs w:val="22"/>
        </w:rPr>
        <w:t>Comment on the reliability, potential coverage, comparability across countries, and the possibility to compute the indicator at sub-national level.</w:t>
      </w:r>
    </w:p>
    <w:p w:rsidR="004B48B5" w:rsidRPr="004B48B5" w:rsidRDefault="004B48B5" w:rsidP="004B48B5">
      <w:pPr>
        <w:spacing w:after="120" w:line="276" w:lineRule="auto"/>
        <w:ind w:right="280"/>
        <w:jc w:val="both"/>
        <w:rPr>
          <w:rFonts w:ascii="Calibri" w:eastAsia="Calibri" w:hAnsi="Calibri"/>
          <w:color w:val="auto"/>
          <w:sz w:val="22"/>
          <w:szCs w:val="22"/>
        </w:rPr>
      </w:pPr>
      <w:r w:rsidRPr="004B48B5">
        <w:rPr>
          <w:rFonts w:ascii="Calibri" w:eastAsia="Calibri" w:hAnsi="Calibri"/>
          <w:color w:val="auto"/>
          <w:sz w:val="22"/>
          <w:szCs w:val="22"/>
        </w:rPr>
        <w:t>The index derives most of the information from GLC-SHARE, so their reliability and potential coverage are highly interrelated.  </w:t>
      </w:r>
    </w:p>
    <w:p w:rsidR="004B48B5" w:rsidRPr="004B48B5" w:rsidRDefault="004B48B5" w:rsidP="004B48B5">
      <w:pPr>
        <w:spacing w:after="120" w:line="276" w:lineRule="auto"/>
        <w:ind w:right="280"/>
        <w:jc w:val="both"/>
        <w:rPr>
          <w:rFonts w:ascii="Calibri" w:eastAsia="Calibri" w:hAnsi="Calibri"/>
          <w:color w:val="auto"/>
          <w:sz w:val="22"/>
          <w:szCs w:val="22"/>
        </w:rPr>
      </w:pPr>
      <w:r w:rsidRPr="004B48B5">
        <w:rPr>
          <w:rFonts w:ascii="Calibri" w:eastAsia="Calibri" w:hAnsi="Calibri"/>
          <w:color w:val="auto"/>
          <w:sz w:val="22"/>
          <w:szCs w:val="22"/>
        </w:rPr>
        <w:t xml:space="preserve">GLC-SHARE (v. 1.0): “The Global Land Cover-SHARE (GLC-SHARE) is a new land cover database at the global level created by FAO’s Land and Water Division in partnership and with contribution from various partners and institutions. It provides a set of eleven major thematic land cover layers resulting from a combination of “best available” high resolution national, regional and/or sub-national land cover databases. The database is produced with a resolution </w:t>
      </w:r>
      <w:proofErr w:type="gramStart"/>
      <w:r w:rsidRPr="004B48B5">
        <w:rPr>
          <w:rFonts w:ascii="Calibri" w:eastAsia="Calibri" w:hAnsi="Calibri"/>
          <w:color w:val="auto"/>
          <w:sz w:val="22"/>
          <w:szCs w:val="22"/>
        </w:rPr>
        <w:t>of 30 arc-second2 (~1sqkm)</w:t>
      </w:r>
      <w:proofErr w:type="gramEnd"/>
      <w:r w:rsidRPr="004B48B5">
        <w:rPr>
          <w:rFonts w:ascii="Calibri" w:eastAsia="Calibri" w:hAnsi="Calibri"/>
          <w:color w:val="auto"/>
          <w:sz w:val="22"/>
          <w:szCs w:val="22"/>
        </w:rPr>
        <w:t xml:space="preserve">. The GLC-SHARE 2012 Beta-Release 1.0 is published by FAO in 2014. Complete free and open </w:t>
      </w:r>
      <w:proofErr w:type="gramStart"/>
      <w:r w:rsidRPr="004B48B5">
        <w:rPr>
          <w:rFonts w:ascii="Calibri" w:eastAsia="Calibri" w:hAnsi="Calibri"/>
          <w:color w:val="auto"/>
          <w:sz w:val="22"/>
          <w:szCs w:val="22"/>
        </w:rPr>
        <w:t>access to the data and metadata products are</w:t>
      </w:r>
      <w:proofErr w:type="gramEnd"/>
      <w:r w:rsidRPr="004B48B5">
        <w:rPr>
          <w:rFonts w:ascii="Calibri" w:eastAsia="Calibri" w:hAnsi="Calibri"/>
          <w:color w:val="auto"/>
          <w:sz w:val="22"/>
          <w:szCs w:val="22"/>
        </w:rPr>
        <w:t xml:space="preserve"> available at FAO </w:t>
      </w:r>
      <w:proofErr w:type="spellStart"/>
      <w:r w:rsidRPr="004B48B5">
        <w:rPr>
          <w:rFonts w:ascii="Calibri" w:eastAsia="Calibri" w:hAnsi="Calibri"/>
          <w:color w:val="auto"/>
          <w:sz w:val="22"/>
          <w:szCs w:val="22"/>
        </w:rPr>
        <w:t>GeoNetwork</w:t>
      </w:r>
      <w:proofErr w:type="spellEnd"/>
      <w:r w:rsidRPr="004B48B5">
        <w:rPr>
          <w:rFonts w:ascii="Calibri" w:eastAsia="Calibri" w:hAnsi="Calibri"/>
          <w:color w:val="auto"/>
          <w:sz w:val="22"/>
          <w:szCs w:val="22"/>
        </w:rPr>
        <w:t xml:space="preserve"> (</w:t>
      </w:r>
      <w:hyperlink r:id="rId10" w:history="1">
        <w:r w:rsidRPr="004B48B5">
          <w:rPr>
            <w:rFonts w:ascii="Calibri" w:eastAsia="Calibri" w:hAnsi="Calibri"/>
            <w:iCs/>
            <w:color w:val="auto"/>
            <w:sz w:val="22"/>
            <w:szCs w:val="22"/>
            <w:u w:val="single"/>
          </w:rPr>
          <w:t>www.fao.org/geonetwork</w:t>
        </w:r>
      </w:hyperlink>
      <w:r w:rsidRPr="004B48B5">
        <w:rPr>
          <w:rFonts w:ascii="Calibri" w:eastAsia="Calibri" w:hAnsi="Calibri"/>
          <w:color w:val="auto"/>
          <w:sz w:val="22"/>
          <w:szCs w:val="22"/>
        </w:rPr>
        <w:t xml:space="preserve">).” </w:t>
      </w:r>
    </w:p>
    <w:p w:rsidR="004B48B5" w:rsidRPr="004B48B5" w:rsidRDefault="004B48B5" w:rsidP="004B48B5">
      <w:pPr>
        <w:spacing w:after="120" w:line="276" w:lineRule="auto"/>
        <w:ind w:right="280"/>
        <w:jc w:val="both"/>
        <w:rPr>
          <w:rFonts w:ascii="Calibri" w:eastAsia="Calibri" w:hAnsi="Calibri"/>
          <w:color w:val="auto"/>
          <w:sz w:val="22"/>
          <w:szCs w:val="22"/>
        </w:rPr>
      </w:pPr>
      <w:r w:rsidRPr="004B48B5">
        <w:rPr>
          <w:rFonts w:ascii="Calibri" w:eastAsia="Calibri" w:hAnsi="Calibri"/>
          <w:color w:val="auto"/>
          <w:sz w:val="22"/>
          <w:szCs w:val="22"/>
        </w:rPr>
        <w:t>Thanks to the way GLC-SHARE is structured, the Mountain Green Cover Index has a global coverage and it is possible to compute the indicator at the global, regional, national and sub-national level. In addition, the indicator allows for an analysis across the different mountain elevation classes.</w:t>
      </w:r>
    </w:p>
    <w:p w:rsidR="004B48B5" w:rsidRPr="004B48B5" w:rsidRDefault="004B48B5" w:rsidP="004B48B5">
      <w:pPr>
        <w:spacing w:after="120" w:line="276" w:lineRule="auto"/>
        <w:ind w:right="280"/>
        <w:jc w:val="both"/>
        <w:rPr>
          <w:rFonts w:ascii="Calibri" w:eastAsia="Calibri" w:hAnsi="Calibri"/>
          <w:color w:val="auto"/>
          <w:sz w:val="22"/>
          <w:szCs w:val="22"/>
        </w:rPr>
      </w:pPr>
      <w:r w:rsidRPr="004B48B5">
        <w:rPr>
          <w:rFonts w:ascii="Calibri" w:eastAsia="Calibri" w:hAnsi="Calibri"/>
          <w:color w:val="auto"/>
          <w:sz w:val="22"/>
          <w:szCs w:val="22"/>
        </w:rPr>
        <w:t xml:space="preserve">Comparability across countries is technically feasible, but it is not necessarily the most interesting statistics that the index can provide. </w:t>
      </w:r>
    </w:p>
    <w:p w:rsidR="004B48B5" w:rsidRPr="004B48B5" w:rsidRDefault="004B48B5" w:rsidP="004B48B5">
      <w:pPr>
        <w:ind w:right="280"/>
        <w:rPr>
          <w:rFonts w:ascii="Calibri" w:eastAsia="Constantia" w:hAnsi="Calibri" w:cs="Consolas"/>
          <w:b/>
          <w:bCs/>
          <w:color w:val="auto"/>
          <w:sz w:val="28"/>
          <w:szCs w:val="28"/>
        </w:rPr>
      </w:pPr>
      <w:r w:rsidRPr="004B48B5">
        <w:rPr>
          <w:rFonts w:ascii="Calibri" w:eastAsia="SimSun" w:hAnsi="Calibri" w:cs="Calibri"/>
          <w:b/>
          <w:bCs/>
          <w:color w:val="auto"/>
          <w:sz w:val="28"/>
          <w:szCs w:val="28"/>
        </w:rPr>
        <w:br w:type="page"/>
      </w:r>
    </w:p>
    <w:bookmarkStart w:id="8" w:name="Target15_6"/>
    <w:p w:rsidR="004B48B5" w:rsidRPr="004B48B5" w:rsidRDefault="004B48B5" w:rsidP="004B48B5">
      <w:pPr>
        <w:pageBreakBefore/>
        <w:shd w:val="clear" w:color="auto" w:fill="002060"/>
        <w:spacing w:after="200" w:line="276" w:lineRule="auto"/>
        <w:ind w:right="280"/>
        <w:jc w:val="center"/>
        <w:outlineLvl w:val="0"/>
        <w:rPr>
          <w:rFonts w:ascii="Calibri" w:eastAsia="SimSun" w:hAnsi="Calibri"/>
          <w:b/>
          <w:color w:val="FFFFFF"/>
        </w:rPr>
      </w:pPr>
      <w:r w:rsidRPr="004B48B5">
        <w:rPr>
          <w:rFonts w:ascii="Calibri" w:eastAsia="SimSun" w:hAnsi="Calibri" w:cs="Calibri"/>
          <w:color w:val="FFFFFF"/>
          <w:szCs w:val="22"/>
        </w:rPr>
        <w:lastRenderedPageBreak/>
        <w:fldChar w:fldCharType="begin"/>
      </w:r>
      <w:r w:rsidRPr="004B48B5">
        <w:rPr>
          <w:rFonts w:ascii="Calibri" w:eastAsia="SimSun" w:hAnsi="Calibri" w:cs="Calibri"/>
          <w:color w:val="FFFFFF"/>
          <w:szCs w:val="22"/>
        </w:rPr>
        <w:instrText xml:space="preserve"> HYPERLINK \l "List_of_indicators" </w:instrText>
      </w:r>
      <w:r w:rsidRPr="004B48B5">
        <w:rPr>
          <w:rFonts w:ascii="Calibri" w:eastAsia="SimSun" w:hAnsi="Calibri" w:cs="Calibri"/>
          <w:color w:val="FFFFFF"/>
          <w:szCs w:val="22"/>
        </w:rPr>
        <w:fldChar w:fldCharType="separate"/>
      </w:r>
      <w:r w:rsidRPr="004B48B5">
        <w:rPr>
          <w:rFonts w:ascii="Calibri" w:eastAsia="SimSun" w:hAnsi="Calibri"/>
          <w:b/>
          <w:color w:val="FFFFFF"/>
          <w:u w:val="single"/>
        </w:rPr>
        <w:t>Target 15.6</w:t>
      </w:r>
      <w:r w:rsidRPr="004B48B5">
        <w:rPr>
          <w:rFonts w:ascii="Calibri" w:eastAsia="SimSun" w:hAnsi="Calibri"/>
          <w:b/>
          <w:color w:val="FFFFFF"/>
          <w:u w:val="single"/>
        </w:rPr>
        <w:fldChar w:fldCharType="end"/>
      </w:r>
      <w:r w:rsidRPr="004B48B5">
        <w:rPr>
          <w:rFonts w:ascii="Calibri" w:eastAsia="SimSun" w:hAnsi="Calibri"/>
          <w:b/>
          <w:color w:val="FFFFFF"/>
        </w:rPr>
        <w:t xml:space="preserve"> </w:t>
      </w:r>
      <w:bookmarkEnd w:id="8"/>
      <w:r w:rsidRPr="004B48B5">
        <w:rPr>
          <w:rFonts w:ascii="Calibri" w:eastAsia="SimSun" w:hAnsi="Calibri"/>
          <w:b/>
          <w:color w:val="FFFFFF"/>
        </w:rPr>
        <w:br/>
        <w:t>“Ensure fair and equitable sharing of the benefits arising from the utilization of genetic resources and promote appropriate access to such resources”</w:t>
      </w:r>
    </w:p>
    <w:p w:rsidR="004B48B5" w:rsidRPr="004B48B5" w:rsidRDefault="004B48B5" w:rsidP="004B48B5">
      <w:pPr>
        <w:spacing w:line="276" w:lineRule="auto"/>
        <w:ind w:right="280"/>
        <w:jc w:val="both"/>
        <w:rPr>
          <w:rFonts w:ascii="Calibri" w:eastAsia="SimSun" w:hAnsi="Calibri"/>
          <w:i/>
          <w:sz w:val="22"/>
        </w:rPr>
      </w:pPr>
    </w:p>
    <w:p w:rsidR="004B48B5" w:rsidRPr="004B48B5" w:rsidRDefault="004B48B5" w:rsidP="004B48B5">
      <w:pPr>
        <w:spacing w:line="276" w:lineRule="auto"/>
        <w:ind w:right="280"/>
        <w:jc w:val="both"/>
        <w:rPr>
          <w:rFonts w:ascii="Calibri" w:eastAsia="SimSun" w:hAnsi="Calibri"/>
          <w:i/>
          <w:sz w:val="22"/>
        </w:rPr>
      </w:pPr>
      <w:r w:rsidRPr="004B48B5">
        <w:rPr>
          <w:rFonts w:ascii="Calibri" w:eastAsia="SimSun" w:hAnsi="Calibri"/>
          <w:i/>
          <w:sz w:val="22"/>
        </w:rPr>
        <w:t xml:space="preserve">FAO is puzzled with the selected indicator for this target in UNSD’s May priority list, which refers only to the ratification status of the Nagoya protocol. FAO recognizes the importance of the Nagoya Protocol in this area, but recalls that the International Treaty on Plant Genetic Resources is also a key instrument. FAO’s proposal, elaborated below, combines the number of permits made available to the Nagoya Clearinghouse as well as number of SMTA communicated to the International Treaty, to reflect the role played by both instruments. By selecting the indicator that only refers to the Nagoya Protocol, UNSD has inadvertently created an assumed hierarchy between the two instruments, which is neither objective nor helpful. </w:t>
      </w:r>
    </w:p>
    <w:p w:rsidR="004B48B5" w:rsidRPr="004B48B5" w:rsidRDefault="004B48B5" w:rsidP="004B48B5">
      <w:pPr>
        <w:spacing w:line="276" w:lineRule="auto"/>
        <w:ind w:right="280"/>
        <w:jc w:val="both"/>
        <w:rPr>
          <w:rFonts w:ascii="Calibri" w:eastAsia="SimSun" w:hAnsi="Calibri"/>
          <w:i/>
          <w:sz w:val="22"/>
        </w:rPr>
      </w:pPr>
    </w:p>
    <w:p w:rsidR="004B48B5" w:rsidRPr="004B48B5" w:rsidRDefault="004B48B5" w:rsidP="004B48B5">
      <w:pPr>
        <w:spacing w:line="276" w:lineRule="auto"/>
        <w:ind w:right="280"/>
        <w:jc w:val="both"/>
        <w:rPr>
          <w:rFonts w:ascii="Calibri" w:eastAsia="SimSun" w:hAnsi="Calibri"/>
          <w:i/>
          <w:color w:val="FFFFFF"/>
        </w:rPr>
      </w:pPr>
      <w:r w:rsidRPr="004B48B5">
        <w:rPr>
          <w:rFonts w:ascii="Calibri" w:eastAsia="SimSun" w:hAnsi="Calibri"/>
          <w:i/>
          <w:sz w:val="22"/>
        </w:rPr>
        <w:t>In view of the above, FAO has held discussions with CBD and an understanding has been reached that the indicator “Number of permits or their equivalents made available to the Access and Benefit-sharing Clearinghouse established under the Nagoya Protocol and number of Standard Material Transfer Agreements, as communicated to the Governing Body of the International Treaty” should be the core indicator for target 15.6.</w:t>
      </w:r>
      <w:r w:rsidRPr="004B48B5">
        <w:rPr>
          <w:rFonts w:ascii="Calibri" w:eastAsia="SimSun" w:hAnsi="Calibri"/>
          <w:i/>
          <w:color w:val="FFFFFF"/>
        </w:rPr>
        <w:br w:type="page"/>
      </w:r>
    </w:p>
    <w:bookmarkStart w:id="9" w:name="Indicator_15_6_1"/>
    <w:p w:rsidR="004B48B5" w:rsidRPr="004B48B5" w:rsidRDefault="004B48B5" w:rsidP="004B48B5">
      <w:pPr>
        <w:shd w:val="clear" w:color="auto" w:fill="99FF99"/>
        <w:spacing w:after="200" w:line="276" w:lineRule="auto"/>
        <w:ind w:right="280"/>
        <w:jc w:val="center"/>
        <w:rPr>
          <w:rFonts w:ascii="Calibri" w:eastAsia="SimSun" w:hAnsi="Calibri"/>
          <w:b/>
          <w:color w:val="auto"/>
        </w:rPr>
      </w:pPr>
      <w:r w:rsidRPr="004B48B5">
        <w:rPr>
          <w:rFonts w:eastAsia="SimSun" w:cs="Calibri"/>
          <w:color w:val="auto"/>
          <w:szCs w:val="22"/>
        </w:rPr>
        <w:lastRenderedPageBreak/>
        <w:fldChar w:fldCharType="begin"/>
      </w:r>
      <w:r w:rsidRPr="004B48B5">
        <w:rPr>
          <w:rFonts w:eastAsia="SimSun" w:cs="Calibri"/>
          <w:color w:val="auto"/>
          <w:szCs w:val="22"/>
        </w:rPr>
        <w:instrText>HYPERLINK \l "List_of_indicators"</w:instrText>
      </w:r>
      <w:r w:rsidRPr="004B48B5">
        <w:rPr>
          <w:rFonts w:eastAsia="SimSun" w:cs="Calibri"/>
          <w:color w:val="auto"/>
          <w:szCs w:val="22"/>
        </w:rPr>
        <w:fldChar w:fldCharType="separate"/>
      </w:r>
      <w:r w:rsidRPr="004B48B5">
        <w:rPr>
          <w:rFonts w:ascii="Calibri" w:eastAsia="SimSun" w:hAnsi="Calibri"/>
          <w:b/>
          <w:color w:val="auto"/>
        </w:rPr>
        <w:t>Indicator 15.6.1</w:t>
      </w:r>
      <w:r w:rsidRPr="004B48B5">
        <w:rPr>
          <w:rFonts w:eastAsia="SimSun" w:cs="Calibri"/>
          <w:color w:val="auto"/>
          <w:szCs w:val="22"/>
        </w:rPr>
        <w:fldChar w:fldCharType="end"/>
      </w:r>
      <w:r w:rsidRPr="004B48B5">
        <w:rPr>
          <w:rFonts w:ascii="Calibri" w:eastAsia="SimSun" w:hAnsi="Calibri"/>
          <w:b/>
          <w:color w:val="auto"/>
        </w:rPr>
        <w:t xml:space="preserve"> </w:t>
      </w:r>
      <w:bookmarkEnd w:id="9"/>
      <w:r w:rsidRPr="004B48B5">
        <w:rPr>
          <w:rFonts w:ascii="Calibri" w:eastAsia="SimSun" w:hAnsi="Calibri"/>
          <w:b/>
          <w:color w:val="auto"/>
        </w:rPr>
        <w:t>(Core)</w:t>
      </w:r>
      <w:r w:rsidRPr="004B48B5">
        <w:rPr>
          <w:rFonts w:ascii="Calibri" w:eastAsia="SimSun" w:hAnsi="Calibri"/>
          <w:b/>
          <w:color w:val="auto"/>
        </w:rPr>
        <w:br/>
        <w:t>“</w:t>
      </w:r>
      <w:r w:rsidRPr="004B48B5">
        <w:rPr>
          <w:rFonts w:ascii="Calibri" w:eastAsia="SimSun" w:hAnsi="Calibri"/>
          <w:color w:val="auto"/>
        </w:rPr>
        <w:t>Number of permits or their equivalents made available to the Access and Benefit-sharing Clearinghouse established under the Nagoya Protocol and number of Standard Material Transfer Agreements, as communicated to the Governing Body of the International Treaty</w:t>
      </w:r>
      <w:r w:rsidRPr="004B48B5">
        <w:rPr>
          <w:rFonts w:ascii="Calibri" w:eastAsia="SimSun" w:hAnsi="Calibri"/>
          <w:b/>
          <w:color w:val="auto"/>
        </w:rPr>
        <w:t>”</w:t>
      </w:r>
    </w:p>
    <w:p w:rsidR="004B48B5" w:rsidRPr="004B48B5" w:rsidRDefault="004B48B5" w:rsidP="004B48B5">
      <w:pPr>
        <w:numPr>
          <w:ilvl w:val="0"/>
          <w:numId w:val="7"/>
        </w:numPr>
        <w:suppressAutoHyphens/>
        <w:spacing w:before="480" w:after="200" w:line="276" w:lineRule="auto"/>
        <w:ind w:left="714" w:right="280" w:hanging="357"/>
        <w:jc w:val="both"/>
        <w:rPr>
          <w:rFonts w:ascii="Calibri" w:eastAsia="Times New Roman" w:hAnsi="Calibri" w:cs="Arial"/>
          <w:b/>
          <w:bCs/>
          <w:sz w:val="22"/>
          <w:szCs w:val="22"/>
        </w:rPr>
      </w:pPr>
      <w:r w:rsidRPr="004B48B5">
        <w:rPr>
          <w:rFonts w:ascii="Calibri" w:eastAsia="Times New Roman" w:hAnsi="Calibri" w:cs="Arial"/>
          <w:b/>
          <w:bCs/>
          <w:sz w:val="22"/>
          <w:szCs w:val="22"/>
        </w:rPr>
        <w:t>Precise definition of the indicator</w:t>
      </w:r>
    </w:p>
    <w:p w:rsidR="004B48B5" w:rsidRPr="004B48B5" w:rsidRDefault="004B48B5" w:rsidP="004B48B5">
      <w:pPr>
        <w:spacing w:line="276" w:lineRule="auto"/>
        <w:ind w:right="280"/>
        <w:jc w:val="both"/>
        <w:rPr>
          <w:rFonts w:ascii="Calibri" w:eastAsia="Times New Roman" w:hAnsi="Calibri" w:cs="Arial"/>
          <w:b/>
          <w:bCs/>
          <w:sz w:val="22"/>
          <w:szCs w:val="22"/>
        </w:rPr>
      </w:pPr>
    </w:p>
    <w:p w:rsidR="004B48B5" w:rsidRPr="004B48B5" w:rsidRDefault="004B48B5" w:rsidP="004B48B5">
      <w:pPr>
        <w:spacing w:after="120" w:line="276" w:lineRule="auto"/>
        <w:ind w:right="280"/>
        <w:jc w:val="both"/>
        <w:rPr>
          <w:rFonts w:ascii="Calibri" w:eastAsia="Calibri" w:hAnsi="Calibri" w:cs="Arial"/>
          <w:sz w:val="22"/>
          <w:szCs w:val="22"/>
        </w:rPr>
      </w:pPr>
      <w:r w:rsidRPr="004B48B5">
        <w:rPr>
          <w:rFonts w:ascii="Calibri" w:eastAsia="Calibri" w:hAnsi="Calibri" w:cs="Arial"/>
          <w:sz w:val="22"/>
          <w:szCs w:val="22"/>
        </w:rPr>
        <w:t>This indicator builds on concrete cases in which agreement has been reached on the transfer of genetic resources between the resource provider and the resource recipient, including on how benefits arising from the use of the genetic resources will be shared.</w:t>
      </w:r>
    </w:p>
    <w:p w:rsidR="004B48B5" w:rsidRPr="004B48B5" w:rsidRDefault="004B48B5" w:rsidP="004B48B5">
      <w:pPr>
        <w:spacing w:after="120" w:line="276" w:lineRule="auto"/>
        <w:ind w:right="280"/>
        <w:jc w:val="both"/>
        <w:rPr>
          <w:rFonts w:ascii="Calibri" w:eastAsia="Calibri" w:hAnsi="Calibri" w:cs="Arial"/>
          <w:color w:val="auto"/>
          <w:sz w:val="22"/>
          <w:szCs w:val="22"/>
        </w:rPr>
      </w:pPr>
      <w:r w:rsidRPr="004B48B5">
        <w:rPr>
          <w:rFonts w:ascii="Calibri" w:eastAsia="Calibri" w:hAnsi="Calibri" w:cs="Arial"/>
          <w:sz w:val="22"/>
          <w:szCs w:val="22"/>
        </w:rPr>
        <w:t xml:space="preserve">Parties to the </w:t>
      </w:r>
      <w:r w:rsidRPr="004B48B5">
        <w:rPr>
          <w:rFonts w:ascii="Calibri" w:eastAsia="Calibri" w:hAnsi="Calibri" w:cs="Arial"/>
          <w:i/>
          <w:iCs/>
          <w:sz w:val="22"/>
          <w:szCs w:val="22"/>
        </w:rPr>
        <w:t xml:space="preserve">Nagoya Protocol </w:t>
      </w:r>
      <w:r w:rsidRPr="004B48B5">
        <w:rPr>
          <w:rFonts w:ascii="Calibri" w:eastAsia="Calibri" w:hAnsi="Calibri" w:cs="Arial"/>
          <w:i/>
          <w:iCs/>
          <w:color w:val="auto"/>
          <w:sz w:val="22"/>
          <w:szCs w:val="22"/>
        </w:rPr>
        <w:t>on Access to Genetic Resources and the Fair and Equitable Sharing of Benefits Arising from their Utilization to the Convention on Biological Diversity</w:t>
      </w:r>
      <w:r w:rsidRPr="004B48B5">
        <w:rPr>
          <w:rFonts w:ascii="Calibri" w:eastAsia="Calibri" w:hAnsi="Calibri" w:cs="Arial"/>
          <w:color w:val="auto"/>
          <w:sz w:val="22"/>
          <w:szCs w:val="22"/>
        </w:rPr>
        <w:t xml:space="preserve"> (Nagoya Protocol) that subject access to genetic resources to prior informed consent are obliged under Article 6 (3</w:t>
      </w:r>
      <w:proofErr w:type="gramStart"/>
      <w:r w:rsidRPr="004B48B5">
        <w:rPr>
          <w:rFonts w:ascii="Calibri" w:eastAsia="Calibri" w:hAnsi="Calibri" w:cs="Arial"/>
          <w:color w:val="auto"/>
          <w:sz w:val="22"/>
          <w:szCs w:val="22"/>
        </w:rPr>
        <w:t>)e</w:t>
      </w:r>
      <w:proofErr w:type="gramEnd"/>
      <w:r w:rsidRPr="004B48B5">
        <w:rPr>
          <w:rFonts w:ascii="Calibri" w:eastAsia="Calibri" w:hAnsi="Calibri" w:cs="Arial"/>
          <w:color w:val="auto"/>
          <w:sz w:val="22"/>
          <w:szCs w:val="22"/>
        </w:rPr>
        <w:t xml:space="preserve"> of the Nagoya Protocol to issue a “permit or its equivalent as evidence of the decision to grant prior informed consent and of the establishment of mutually agreed terms.” The ABS Clearinghouse will make permits available on-line: </w:t>
      </w:r>
      <w:hyperlink r:id="rId11" w:history="1">
        <w:r w:rsidRPr="004B48B5">
          <w:rPr>
            <w:rFonts w:ascii="Calibri" w:eastAsia="Calibri" w:hAnsi="Calibri" w:cs="Arial"/>
            <w:color w:val="auto"/>
            <w:sz w:val="22"/>
            <w:szCs w:val="22"/>
            <w:u w:val="single"/>
          </w:rPr>
          <w:t>https://absch.cbd.int/</w:t>
        </w:r>
      </w:hyperlink>
      <w:r w:rsidRPr="004B48B5">
        <w:rPr>
          <w:rFonts w:ascii="Calibri" w:eastAsia="Calibri" w:hAnsi="Calibri" w:cs="Arial"/>
          <w:color w:val="auto"/>
          <w:sz w:val="22"/>
          <w:szCs w:val="22"/>
        </w:rPr>
        <w:t>.</w:t>
      </w:r>
    </w:p>
    <w:p w:rsidR="004B48B5" w:rsidRPr="004B48B5" w:rsidRDefault="004B48B5" w:rsidP="004B48B5">
      <w:pPr>
        <w:spacing w:after="120" w:line="276" w:lineRule="auto"/>
        <w:ind w:right="280"/>
        <w:jc w:val="both"/>
        <w:rPr>
          <w:rFonts w:ascii="Calibri" w:eastAsia="Calibri" w:hAnsi="Calibri" w:cs="Arial"/>
          <w:color w:val="auto"/>
          <w:sz w:val="22"/>
          <w:szCs w:val="22"/>
          <w:shd w:val="clear" w:color="auto" w:fill="FEFEFE"/>
        </w:rPr>
      </w:pPr>
      <w:r w:rsidRPr="004B48B5">
        <w:rPr>
          <w:rFonts w:ascii="Calibri" w:eastAsia="Calibri" w:hAnsi="Calibri" w:cs="Arial"/>
          <w:color w:val="auto"/>
          <w:sz w:val="22"/>
          <w:szCs w:val="22"/>
        </w:rPr>
        <w:t xml:space="preserve">The </w:t>
      </w:r>
      <w:r w:rsidRPr="004B48B5">
        <w:rPr>
          <w:rFonts w:ascii="Calibri" w:eastAsia="Calibri" w:hAnsi="Calibri" w:cs="Arial"/>
          <w:i/>
          <w:iCs/>
          <w:color w:val="auto"/>
          <w:sz w:val="22"/>
          <w:szCs w:val="22"/>
          <w:shd w:val="clear" w:color="auto" w:fill="FEFEFE"/>
        </w:rPr>
        <w:t>Standard Material Transfer Agreement</w:t>
      </w:r>
      <w:r w:rsidRPr="004B48B5">
        <w:rPr>
          <w:rFonts w:ascii="Calibri" w:eastAsia="Calibri" w:hAnsi="Calibri" w:cs="Arial"/>
          <w:color w:val="auto"/>
          <w:sz w:val="22"/>
          <w:szCs w:val="22"/>
          <w:shd w:val="clear" w:color="auto" w:fill="FEFEFE"/>
        </w:rPr>
        <w:t xml:space="preserve"> (SMTA) is a mandatory contract that Parties to the </w:t>
      </w:r>
      <w:r w:rsidRPr="004B48B5">
        <w:rPr>
          <w:rFonts w:ascii="Calibri" w:eastAsia="Calibri" w:hAnsi="Calibri" w:cs="Arial"/>
          <w:i/>
          <w:iCs/>
          <w:color w:val="auto"/>
          <w:sz w:val="22"/>
          <w:szCs w:val="22"/>
          <w:shd w:val="clear" w:color="auto" w:fill="FEFEFE"/>
        </w:rPr>
        <w:t>International Treaty on Plant Genetic Resources for Food and Agriculture</w:t>
      </w:r>
      <w:r w:rsidRPr="004B48B5">
        <w:rPr>
          <w:rFonts w:ascii="Calibri" w:eastAsia="Calibri" w:hAnsi="Calibri" w:cs="Arial"/>
          <w:color w:val="auto"/>
          <w:sz w:val="22"/>
          <w:szCs w:val="22"/>
          <w:shd w:val="clear" w:color="auto" w:fill="FEFEFE"/>
        </w:rPr>
        <w:t xml:space="preserve"> (International Treaty) have agreed to use whenever plant genetic resources falling under the Treaty’s Multilateral System of Access and Benefit-sharing are made available. The SMTA defines the conditions of use of the plant genetic resources as well as the benefit-sharing conditions. According to the SMTA providers shall inform the Governing Body about the Standard Material Transfer Agreements entered into. In addition, recipients who transfer resources received under a SMTA to third parties shall do so under the terms and conditions of the SMTA and shall notify the Governing Body. SMTAs are stored in the Data Store of the International Treaty. As of 1 September 2014, the Data Store has recorded 21, 701 SMTAs from providers located in 16 countries, distributing material to recipients based in 155 countries. (</w:t>
      </w:r>
      <w:hyperlink r:id="rId12" w:history="1">
        <w:r w:rsidRPr="004B48B5">
          <w:rPr>
            <w:rFonts w:ascii="Calibri" w:eastAsia="Calibri" w:hAnsi="Calibri" w:cs="Arial"/>
            <w:color w:val="auto"/>
            <w:sz w:val="22"/>
            <w:szCs w:val="22"/>
            <w:u w:val="single"/>
            <w:shd w:val="clear" w:color="auto" w:fill="FEFEFE"/>
          </w:rPr>
          <w:t>http://www.planttreaty.org/sites/default/files/IT_OWG-EFMLS-2_14_Inf3_en.pdf</w:t>
        </w:r>
      </w:hyperlink>
      <w:r w:rsidRPr="004B48B5">
        <w:rPr>
          <w:rFonts w:ascii="Calibri" w:eastAsia="Calibri" w:hAnsi="Calibri" w:cs="Arial"/>
          <w:color w:val="auto"/>
          <w:sz w:val="22"/>
          <w:szCs w:val="22"/>
          <w:shd w:val="clear" w:color="auto" w:fill="FEFEFE"/>
        </w:rPr>
        <w:t>).</w:t>
      </w:r>
    </w:p>
    <w:p w:rsidR="004B48B5" w:rsidRPr="004B48B5" w:rsidRDefault="004B48B5" w:rsidP="004B48B5">
      <w:pPr>
        <w:spacing w:after="120" w:line="276" w:lineRule="auto"/>
        <w:ind w:right="280"/>
        <w:jc w:val="both"/>
        <w:rPr>
          <w:rFonts w:ascii="Calibri" w:eastAsia="Calibri" w:hAnsi="Calibri" w:cs="Arial"/>
          <w:color w:val="auto"/>
          <w:sz w:val="22"/>
          <w:szCs w:val="22"/>
        </w:rPr>
      </w:pPr>
      <w:r w:rsidRPr="004B48B5">
        <w:rPr>
          <w:rFonts w:ascii="Calibri" w:eastAsia="Calibri" w:hAnsi="Calibri" w:cs="Arial"/>
          <w:color w:val="auto"/>
          <w:sz w:val="22"/>
          <w:szCs w:val="22"/>
          <w:shd w:val="clear" w:color="auto" w:fill="FEFEFE"/>
        </w:rPr>
        <w:t xml:space="preserve">It should be noted that the number of permits or their equivalents and the number of SMTA does not necessarily equal the number of samples/ accessions made available. Many permits/ SMTAs cover a large number of samples/ accessions. </w:t>
      </w:r>
    </w:p>
    <w:p w:rsidR="004B48B5" w:rsidRPr="004B48B5" w:rsidRDefault="004B48B5" w:rsidP="004B48B5">
      <w:pPr>
        <w:numPr>
          <w:ilvl w:val="0"/>
          <w:numId w:val="7"/>
        </w:numPr>
        <w:suppressAutoHyphens/>
        <w:spacing w:before="480" w:after="200" w:line="276" w:lineRule="auto"/>
        <w:ind w:left="714" w:right="280" w:hanging="357"/>
        <w:jc w:val="both"/>
        <w:rPr>
          <w:rFonts w:ascii="Calibri" w:eastAsia="Times New Roman" w:hAnsi="Calibri" w:cs="Arial"/>
          <w:b/>
          <w:bCs/>
          <w:color w:val="auto"/>
          <w:sz w:val="22"/>
          <w:szCs w:val="22"/>
        </w:rPr>
      </w:pPr>
      <w:r w:rsidRPr="004B48B5">
        <w:rPr>
          <w:rFonts w:ascii="Calibri" w:eastAsia="Times New Roman" w:hAnsi="Calibri" w:cs="Arial"/>
          <w:b/>
          <w:bCs/>
          <w:color w:val="auto"/>
          <w:sz w:val="22"/>
          <w:szCs w:val="22"/>
        </w:rPr>
        <w:t>How is the indicator linked to the specific TARGET as worded in the OWG report?</w:t>
      </w:r>
    </w:p>
    <w:p w:rsidR="004B48B5" w:rsidRPr="004B48B5" w:rsidRDefault="004B48B5" w:rsidP="004B48B5">
      <w:pPr>
        <w:spacing w:line="276" w:lineRule="auto"/>
        <w:ind w:left="714" w:right="280"/>
        <w:jc w:val="both"/>
        <w:rPr>
          <w:rFonts w:ascii="Calibri" w:eastAsia="Times New Roman" w:hAnsi="Calibri" w:cs="Arial"/>
          <w:b/>
          <w:bCs/>
          <w:color w:val="auto"/>
          <w:sz w:val="22"/>
          <w:szCs w:val="22"/>
        </w:rPr>
      </w:pPr>
    </w:p>
    <w:p w:rsidR="004B48B5" w:rsidRPr="004B48B5" w:rsidRDefault="004B48B5" w:rsidP="004B48B5">
      <w:pPr>
        <w:spacing w:after="120" w:line="276" w:lineRule="auto"/>
        <w:ind w:right="280"/>
        <w:jc w:val="both"/>
        <w:rPr>
          <w:rFonts w:ascii="Calibri" w:eastAsia="Calibri" w:hAnsi="Calibri" w:cs="Arial"/>
          <w:sz w:val="22"/>
          <w:szCs w:val="22"/>
        </w:rPr>
      </w:pPr>
      <w:r w:rsidRPr="004B48B5">
        <w:rPr>
          <w:rFonts w:ascii="Calibri" w:eastAsia="Calibri" w:hAnsi="Calibri" w:cs="Arial"/>
          <w:color w:val="auto"/>
          <w:sz w:val="22"/>
          <w:szCs w:val="22"/>
        </w:rPr>
        <w:t>The fair and equitable sharing of benefits arising</w:t>
      </w:r>
      <w:r w:rsidRPr="004B48B5">
        <w:rPr>
          <w:rFonts w:ascii="Calibri" w:eastAsia="Calibri" w:hAnsi="Calibri" w:cs="Arial"/>
          <w:sz w:val="22"/>
          <w:szCs w:val="22"/>
        </w:rPr>
        <w:t xml:space="preserve"> out of the utilization of genetic resources, including by appropriate access to them will contribute, it is hoped, to the conservation of biological diversity and the sustainable use of its components. The target therefore aims to monitor cases in which agreement on access to genetic resources and the sharing of benefits derived from their use has been reached.</w:t>
      </w:r>
    </w:p>
    <w:p w:rsidR="004B48B5" w:rsidRPr="004B48B5" w:rsidRDefault="004B48B5" w:rsidP="004B48B5">
      <w:pPr>
        <w:spacing w:after="120" w:line="276" w:lineRule="auto"/>
        <w:ind w:right="280"/>
        <w:jc w:val="both"/>
        <w:rPr>
          <w:rFonts w:ascii="Calibri" w:eastAsia="Calibri" w:hAnsi="Calibri" w:cs="Arial"/>
          <w:sz w:val="22"/>
          <w:szCs w:val="22"/>
        </w:rPr>
      </w:pPr>
      <w:r w:rsidRPr="004B48B5">
        <w:rPr>
          <w:rFonts w:ascii="Calibri" w:eastAsia="Calibri" w:hAnsi="Calibri" w:cs="Arial"/>
          <w:sz w:val="22"/>
          <w:szCs w:val="22"/>
        </w:rPr>
        <w:lastRenderedPageBreak/>
        <w:t xml:space="preserve">An increase of permits or their equivalents made available to the ABS Clearinghouse and an increase of SMTAs communicated to the Governing Body of the International Treaty will indicate an increased number of cases in which access to genetic resources </w:t>
      </w:r>
      <w:proofErr w:type="gramStart"/>
      <w:r w:rsidRPr="004B48B5">
        <w:rPr>
          <w:rFonts w:ascii="Calibri" w:eastAsia="Calibri" w:hAnsi="Calibri" w:cs="Arial"/>
          <w:sz w:val="22"/>
          <w:szCs w:val="22"/>
        </w:rPr>
        <w:t>has</w:t>
      </w:r>
      <w:proofErr w:type="gramEnd"/>
      <w:r w:rsidRPr="004B48B5">
        <w:rPr>
          <w:rFonts w:ascii="Calibri" w:eastAsia="Calibri" w:hAnsi="Calibri" w:cs="Arial"/>
          <w:sz w:val="22"/>
          <w:szCs w:val="22"/>
        </w:rPr>
        <w:t xml:space="preserve"> been granted and in which resulting benefits will be shared on the basis of “mutually agreed terms”. </w:t>
      </w:r>
    </w:p>
    <w:p w:rsidR="004B48B5" w:rsidRPr="004B48B5" w:rsidRDefault="004B48B5" w:rsidP="004B48B5">
      <w:pPr>
        <w:numPr>
          <w:ilvl w:val="0"/>
          <w:numId w:val="7"/>
        </w:numPr>
        <w:suppressAutoHyphens/>
        <w:spacing w:before="480" w:after="200" w:line="276" w:lineRule="auto"/>
        <w:ind w:left="714" w:right="280" w:hanging="357"/>
        <w:jc w:val="both"/>
        <w:rPr>
          <w:rFonts w:ascii="Calibri" w:eastAsia="Times New Roman" w:hAnsi="Calibri" w:cs="Arial"/>
          <w:b/>
          <w:bCs/>
          <w:sz w:val="22"/>
          <w:szCs w:val="22"/>
        </w:rPr>
      </w:pPr>
      <w:r w:rsidRPr="004B48B5">
        <w:rPr>
          <w:rFonts w:ascii="Calibri" w:eastAsia="Times New Roman" w:hAnsi="Calibri" w:cs="Arial"/>
          <w:b/>
          <w:bCs/>
          <w:sz w:val="22"/>
          <w:szCs w:val="22"/>
        </w:rPr>
        <w:t>Does the indicator already exist and is it regularly reported?</w:t>
      </w:r>
    </w:p>
    <w:p w:rsidR="004B48B5" w:rsidRPr="004B48B5" w:rsidRDefault="004B48B5" w:rsidP="004B48B5">
      <w:pPr>
        <w:spacing w:line="276" w:lineRule="auto"/>
        <w:ind w:left="357" w:right="280"/>
        <w:jc w:val="both"/>
        <w:rPr>
          <w:rFonts w:ascii="Calibri" w:eastAsia="Times New Roman" w:hAnsi="Calibri" w:cs="Arial"/>
          <w:b/>
          <w:bCs/>
          <w:sz w:val="22"/>
          <w:szCs w:val="22"/>
        </w:rPr>
      </w:pPr>
    </w:p>
    <w:p w:rsidR="004B48B5" w:rsidRPr="004B48B5" w:rsidRDefault="004B48B5" w:rsidP="004B48B5">
      <w:pPr>
        <w:spacing w:after="120" w:line="276" w:lineRule="auto"/>
        <w:ind w:right="280"/>
        <w:jc w:val="both"/>
        <w:rPr>
          <w:rFonts w:ascii="Calibri" w:eastAsia="Calibri" w:hAnsi="Calibri" w:cs="Arial"/>
          <w:color w:val="auto"/>
          <w:sz w:val="22"/>
          <w:szCs w:val="22"/>
        </w:rPr>
      </w:pPr>
      <w:r w:rsidRPr="004B48B5">
        <w:rPr>
          <w:rFonts w:ascii="Calibri" w:eastAsia="Calibri" w:hAnsi="Calibri" w:cs="Arial"/>
          <w:sz w:val="22"/>
          <w:szCs w:val="22"/>
        </w:rPr>
        <w:t xml:space="preserve">The information the indicator is based on is already being collected under the International Treaty. The ABS Clearinghouse is ready to start collecting permits/ equivalents. However, it should be noted that the Nagoya Protocol entered into </w:t>
      </w:r>
      <w:r w:rsidRPr="004B48B5">
        <w:rPr>
          <w:rFonts w:ascii="Calibri" w:eastAsia="Calibri" w:hAnsi="Calibri" w:cs="Arial"/>
          <w:color w:val="auto"/>
          <w:sz w:val="22"/>
          <w:szCs w:val="22"/>
        </w:rPr>
        <w:t>force only recently.</w:t>
      </w:r>
    </w:p>
    <w:p w:rsidR="004B48B5" w:rsidRPr="004B48B5" w:rsidRDefault="004B48B5" w:rsidP="004B48B5">
      <w:pPr>
        <w:numPr>
          <w:ilvl w:val="0"/>
          <w:numId w:val="8"/>
        </w:numPr>
        <w:suppressAutoHyphens/>
        <w:spacing w:after="200" w:line="276" w:lineRule="auto"/>
        <w:ind w:right="280"/>
        <w:contextualSpacing/>
        <w:jc w:val="both"/>
        <w:rPr>
          <w:rFonts w:ascii="Calibri" w:eastAsia="Calibri" w:hAnsi="Calibri" w:cs="Arial"/>
          <w:b/>
          <w:bCs/>
          <w:color w:val="auto"/>
          <w:sz w:val="22"/>
          <w:szCs w:val="22"/>
        </w:rPr>
      </w:pPr>
      <w:r w:rsidRPr="004B48B5">
        <w:rPr>
          <w:rFonts w:ascii="Calibri" w:eastAsia="Calibri" w:hAnsi="Calibri" w:cs="Arial"/>
          <w:b/>
          <w:bCs/>
          <w:color w:val="auto"/>
          <w:sz w:val="22"/>
          <w:szCs w:val="22"/>
        </w:rPr>
        <w:t>Which agency maintains and reports it?</w:t>
      </w:r>
    </w:p>
    <w:p w:rsidR="004B48B5" w:rsidRPr="004B48B5" w:rsidRDefault="004B48B5" w:rsidP="004B48B5">
      <w:pPr>
        <w:spacing w:after="200" w:line="276" w:lineRule="auto"/>
        <w:ind w:left="720" w:right="280"/>
        <w:contextualSpacing/>
        <w:jc w:val="both"/>
        <w:rPr>
          <w:rFonts w:ascii="Calibri" w:eastAsia="Calibri" w:hAnsi="Calibri" w:cs="Arial"/>
          <w:b/>
          <w:bCs/>
          <w:color w:val="auto"/>
          <w:sz w:val="22"/>
          <w:szCs w:val="22"/>
        </w:rPr>
      </w:pPr>
    </w:p>
    <w:p w:rsidR="004B48B5" w:rsidRPr="004B48B5" w:rsidRDefault="004B48B5" w:rsidP="004B48B5">
      <w:pPr>
        <w:numPr>
          <w:ilvl w:val="0"/>
          <w:numId w:val="9"/>
        </w:numPr>
        <w:suppressAutoHyphens/>
        <w:spacing w:after="120" w:line="276" w:lineRule="auto"/>
        <w:ind w:left="714" w:right="280" w:hanging="357"/>
        <w:rPr>
          <w:rFonts w:ascii="Calibri" w:eastAsia="Calibri" w:hAnsi="Calibri" w:cs="Arial"/>
          <w:color w:val="auto"/>
          <w:sz w:val="22"/>
          <w:szCs w:val="22"/>
        </w:rPr>
      </w:pPr>
      <w:r w:rsidRPr="004B48B5">
        <w:rPr>
          <w:rFonts w:ascii="Calibri" w:eastAsia="Calibri" w:hAnsi="Calibri" w:cs="Arial"/>
          <w:color w:val="auto"/>
          <w:sz w:val="22"/>
          <w:szCs w:val="22"/>
        </w:rPr>
        <w:t>The CBD Secretariat, through its ABS Clearinghouse, would be responsible for the ABS permits or their equivalents (</w:t>
      </w:r>
      <w:hyperlink r:id="rId13" w:history="1">
        <w:r w:rsidRPr="004B48B5">
          <w:rPr>
            <w:rFonts w:ascii="Calibri" w:eastAsia="Calibri" w:hAnsi="Calibri" w:cs="Arial"/>
            <w:color w:val="auto"/>
            <w:sz w:val="22"/>
            <w:szCs w:val="22"/>
            <w:u w:val="single"/>
          </w:rPr>
          <w:t>https://absch.cbd.int/</w:t>
        </w:r>
      </w:hyperlink>
      <w:r w:rsidRPr="004B48B5">
        <w:rPr>
          <w:rFonts w:ascii="Calibri" w:eastAsia="Calibri" w:hAnsi="Calibri" w:cs="Arial"/>
          <w:color w:val="auto"/>
          <w:sz w:val="22"/>
          <w:szCs w:val="22"/>
          <w:u w:val="single"/>
        </w:rPr>
        <w:t>)</w:t>
      </w:r>
      <w:r w:rsidRPr="004B48B5">
        <w:rPr>
          <w:rFonts w:ascii="Calibri" w:eastAsia="Calibri" w:hAnsi="Calibri" w:cs="Arial"/>
          <w:color w:val="auto"/>
          <w:sz w:val="22"/>
          <w:szCs w:val="22"/>
        </w:rPr>
        <w:t>.</w:t>
      </w:r>
    </w:p>
    <w:p w:rsidR="004B48B5" w:rsidRPr="004B48B5" w:rsidRDefault="004B48B5" w:rsidP="004B48B5">
      <w:pPr>
        <w:numPr>
          <w:ilvl w:val="0"/>
          <w:numId w:val="9"/>
        </w:numPr>
        <w:suppressAutoHyphens/>
        <w:spacing w:after="120" w:line="276" w:lineRule="auto"/>
        <w:ind w:left="714" w:right="280" w:hanging="357"/>
        <w:rPr>
          <w:rFonts w:ascii="Calibri" w:eastAsia="Calibri" w:hAnsi="Calibri" w:cs="Arial"/>
          <w:color w:val="auto"/>
          <w:sz w:val="22"/>
          <w:szCs w:val="22"/>
        </w:rPr>
      </w:pPr>
      <w:r w:rsidRPr="004B48B5">
        <w:rPr>
          <w:rFonts w:ascii="Calibri" w:eastAsia="Calibri" w:hAnsi="Calibri" w:cs="Arial"/>
          <w:color w:val="auto"/>
          <w:sz w:val="22"/>
          <w:szCs w:val="22"/>
        </w:rPr>
        <w:t>FAO, through its Secretariat of the International Treaty on Plant Genetic Resources for Food and Agriculture, would track the SMTAs (</w:t>
      </w:r>
      <w:hyperlink r:id="rId14" w:history="1">
        <w:r w:rsidRPr="004B48B5">
          <w:rPr>
            <w:rFonts w:ascii="Calibri" w:eastAsia="Calibri" w:hAnsi="Calibri" w:cs="Arial"/>
            <w:color w:val="auto"/>
            <w:sz w:val="22"/>
            <w:szCs w:val="22"/>
            <w:u w:val="single"/>
          </w:rPr>
          <w:t>www.planttreaty.org</w:t>
        </w:r>
      </w:hyperlink>
      <w:r w:rsidRPr="004B48B5">
        <w:rPr>
          <w:rFonts w:ascii="Calibri" w:eastAsia="Calibri" w:hAnsi="Calibri" w:cs="Arial"/>
          <w:color w:val="auto"/>
          <w:sz w:val="22"/>
          <w:szCs w:val="22"/>
        </w:rPr>
        <w:t xml:space="preserve">; </w:t>
      </w:r>
      <w:proofErr w:type="spellStart"/>
      <w:r w:rsidRPr="004B48B5">
        <w:rPr>
          <w:rFonts w:ascii="Calibri" w:eastAsia="Calibri" w:hAnsi="Calibri" w:cs="Arial"/>
          <w:color w:val="auto"/>
          <w:sz w:val="22"/>
          <w:szCs w:val="22"/>
        </w:rPr>
        <w:t>Aya</w:t>
      </w:r>
      <w:proofErr w:type="spellEnd"/>
      <w:r w:rsidRPr="004B48B5">
        <w:rPr>
          <w:rFonts w:ascii="Calibri" w:eastAsia="Calibri" w:hAnsi="Calibri" w:cs="Arial"/>
          <w:color w:val="auto"/>
          <w:sz w:val="22"/>
          <w:szCs w:val="22"/>
        </w:rPr>
        <w:t xml:space="preserve"> </w:t>
      </w:r>
      <w:proofErr w:type="spellStart"/>
      <w:r w:rsidRPr="004B48B5">
        <w:rPr>
          <w:rFonts w:ascii="Calibri" w:eastAsia="Calibri" w:hAnsi="Calibri" w:cs="Arial"/>
          <w:color w:val="auto"/>
          <w:sz w:val="22"/>
          <w:szCs w:val="22"/>
        </w:rPr>
        <w:t>Idemitsu</w:t>
      </w:r>
      <w:proofErr w:type="spellEnd"/>
      <w:r w:rsidRPr="004B48B5">
        <w:rPr>
          <w:rFonts w:ascii="Calibri" w:eastAsia="Calibri" w:hAnsi="Calibri" w:cs="Arial"/>
          <w:color w:val="auto"/>
          <w:sz w:val="22"/>
          <w:szCs w:val="22"/>
        </w:rPr>
        <w:t xml:space="preserve"> (</w:t>
      </w:r>
      <w:hyperlink r:id="rId15" w:history="1">
        <w:r w:rsidRPr="004B48B5">
          <w:rPr>
            <w:rFonts w:ascii="Calibri" w:eastAsia="Calibri" w:hAnsi="Calibri" w:cs="Arial"/>
            <w:color w:val="auto"/>
            <w:sz w:val="22"/>
            <w:szCs w:val="22"/>
            <w:u w:val="single"/>
          </w:rPr>
          <w:t>aya.idemitsu@fao.org</w:t>
        </w:r>
      </w:hyperlink>
      <w:r w:rsidRPr="004B48B5">
        <w:rPr>
          <w:rFonts w:ascii="Calibri" w:eastAsia="Calibri" w:hAnsi="Calibri" w:cs="Arial"/>
          <w:color w:val="auto"/>
          <w:sz w:val="22"/>
          <w:szCs w:val="22"/>
        </w:rPr>
        <w:t>); Francisco Lopez (</w:t>
      </w:r>
      <w:hyperlink r:id="rId16" w:history="1">
        <w:r w:rsidRPr="004B48B5">
          <w:rPr>
            <w:rFonts w:ascii="Calibri" w:eastAsia="Calibri" w:hAnsi="Calibri" w:cs="Arial"/>
            <w:color w:val="auto"/>
            <w:sz w:val="22"/>
            <w:szCs w:val="22"/>
            <w:u w:val="single"/>
          </w:rPr>
          <w:t>francisco.lopez@fao.org</w:t>
        </w:r>
      </w:hyperlink>
      <w:r w:rsidRPr="004B48B5">
        <w:rPr>
          <w:rFonts w:ascii="Calibri" w:eastAsia="Calibri" w:hAnsi="Calibri" w:cs="Arial"/>
          <w:color w:val="auto"/>
          <w:sz w:val="22"/>
          <w:szCs w:val="22"/>
          <w:u w:val="single"/>
        </w:rPr>
        <w:t>)</w:t>
      </w:r>
      <w:r w:rsidRPr="004B48B5">
        <w:rPr>
          <w:rFonts w:ascii="Calibri" w:eastAsia="Calibri" w:hAnsi="Calibri" w:cs="Arial"/>
          <w:color w:val="auto"/>
          <w:sz w:val="22"/>
          <w:szCs w:val="22"/>
        </w:rPr>
        <w:t>.</w:t>
      </w:r>
    </w:p>
    <w:p w:rsidR="004B48B5" w:rsidRPr="004B48B5" w:rsidRDefault="004B48B5" w:rsidP="004B48B5">
      <w:pPr>
        <w:numPr>
          <w:ilvl w:val="0"/>
          <w:numId w:val="7"/>
        </w:numPr>
        <w:suppressAutoHyphens/>
        <w:spacing w:before="480" w:after="200" w:line="276" w:lineRule="auto"/>
        <w:ind w:left="714" w:right="280" w:hanging="357"/>
        <w:jc w:val="both"/>
        <w:rPr>
          <w:rFonts w:ascii="Calibri" w:eastAsia="Times New Roman" w:hAnsi="Calibri" w:cs="Arial"/>
          <w:b/>
          <w:bCs/>
          <w:color w:val="auto"/>
          <w:sz w:val="22"/>
          <w:szCs w:val="22"/>
        </w:rPr>
      </w:pPr>
      <w:r w:rsidRPr="004B48B5">
        <w:rPr>
          <w:rFonts w:ascii="Calibri" w:eastAsia="Times New Roman" w:hAnsi="Calibri" w:cs="Arial"/>
          <w:b/>
          <w:bCs/>
          <w:color w:val="auto"/>
          <w:sz w:val="22"/>
          <w:szCs w:val="22"/>
        </w:rPr>
        <w:t>Comment on the reliability, potential coverage, comparability across countries, and the possibility to compute the indicator at sub-national level.</w:t>
      </w:r>
    </w:p>
    <w:p w:rsidR="004B48B5" w:rsidRPr="004B48B5" w:rsidRDefault="004B48B5" w:rsidP="004B48B5">
      <w:pPr>
        <w:spacing w:line="276" w:lineRule="auto"/>
        <w:ind w:left="357" w:right="280"/>
        <w:jc w:val="both"/>
        <w:rPr>
          <w:rFonts w:ascii="Calibri" w:eastAsia="Times New Roman" w:hAnsi="Calibri" w:cs="Arial"/>
          <w:b/>
          <w:bCs/>
          <w:color w:val="auto"/>
          <w:sz w:val="22"/>
          <w:szCs w:val="22"/>
        </w:rPr>
      </w:pPr>
    </w:p>
    <w:p w:rsidR="004B48B5" w:rsidRPr="004B48B5" w:rsidRDefault="004B48B5" w:rsidP="004B48B5">
      <w:pPr>
        <w:spacing w:after="120" w:line="276" w:lineRule="auto"/>
        <w:ind w:right="280"/>
        <w:jc w:val="both"/>
        <w:rPr>
          <w:rFonts w:ascii="Calibri" w:eastAsia="Calibri" w:hAnsi="Calibri" w:cs="Arial"/>
          <w:sz w:val="22"/>
          <w:szCs w:val="22"/>
        </w:rPr>
      </w:pPr>
      <w:r w:rsidRPr="004B48B5">
        <w:rPr>
          <w:rFonts w:ascii="Calibri" w:eastAsia="Calibri" w:hAnsi="Calibri" w:cs="Arial"/>
          <w:color w:val="auto"/>
          <w:sz w:val="22"/>
          <w:szCs w:val="22"/>
        </w:rPr>
        <w:t>In principle, the “permits/ equivalents</w:t>
      </w:r>
      <w:r w:rsidRPr="004B48B5">
        <w:rPr>
          <w:rFonts w:ascii="Calibri" w:eastAsia="Calibri" w:hAnsi="Calibri" w:cs="Arial"/>
          <w:sz w:val="22"/>
          <w:szCs w:val="22"/>
        </w:rPr>
        <w:t xml:space="preserve"> indicator” will capture all cases of access and benefit-sharing which are covered by ABS laws of countries that are Parties to the Nagoya Protocol. </w:t>
      </w:r>
    </w:p>
    <w:p w:rsidR="004B48B5" w:rsidRPr="004B48B5" w:rsidRDefault="004B48B5" w:rsidP="004B48B5">
      <w:pPr>
        <w:spacing w:after="120" w:line="276" w:lineRule="auto"/>
        <w:ind w:right="280"/>
        <w:jc w:val="both"/>
        <w:rPr>
          <w:rFonts w:ascii="Calibri" w:eastAsia="Calibri" w:hAnsi="Calibri" w:cs="Arial"/>
          <w:sz w:val="22"/>
          <w:szCs w:val="22"/>
        </w:rPr>
      </w:pPr>
      <w:r w:rsidRPr="004B48B5">
        <w:rPr>
          <w:rFonts w:ascii="Calibri" w:eastAsia="Calibri" w:hAnsi="Calibri" w:cs="Arial"/>
          <w:sz w:val="22"/>
          <w:szCs w:val="22"/>
        </w:rPr>
        <w:t xml:space="preserve">The SMTA indicator captures all access and benefit-sharing cases relating to material of the Treaty’s Multilateral System of Access and Benefit-sharing. </w:t>
      </w:r>
    </w:p>
    <w:p w:rsidR="004B48B5" w:rsidRPr="004B48B5" w:rsidRDefault="004B48B5" w:rsidP="004B48B5">
      <w:pPr>
        <w:spacing w:after="120" w:line="276" w:lineRule="auto"/>
        <w:ind w:right="280"/>
        <w:jc w:val="both"/>
        <w:rPr>
          <w:rFonts w:ascii="Calibri" w:eastAsia="Calibri" w:hAnsi="Calibri" w:cs="Arial"/>
          <w:sz w:val="22"/>
          <w:szCs w:val="22"/>
        </w:rPr>
      </w:pPr>
      <w:r w:rsidRPr="004B48B5">
        <w:rPr>
          <w:rFonts w:ascii="Calibri" w:eastAsia="Calibri" w:hAnsi="Calibri" w:cs="Arial"/>
          <w:sz w:val="22"/>
          <w:szCs w:val="22"/>
        </w:rPr>
        <w:t xml:space="preserve">Not all countries will always report all permits / SMTAs. However, as countries become Parties to the International Treaty and the Nagoya Protocol and increasingly comply with their reporting obligations under the two instruments, reliability, coverage and comparability across countries will improve. </w:t>
      </w:r>
    </w:p>
    <w:p w:rsidR="004B48B5" w:rsidRPr="004B48B5" w:rsidRDefault="004B48B5" w:rsidP="004B48B5">
      <w:pPr>
        <w:spacing w:after="120" w:line="276" w:lineRule="auto"/>
        <w:ind w:right="280"/>
        <w:jc w:val="both"/>
        <w:rPr>
          <w:rFonts w:ascii="Calibri" w:eastAsia="Calibri" w:hAnsi="Calibri" w:cs="Arial"/>
          <w:sz w:val="22"/>
          <w:szCs w:val="22"/>
        </w:rPr>
      </w:pPr>
      <w:r w:rsidRPr="004B48B5">
        <w:rPr>
          <w:rFonts w:ascii="Calibri" w:eastAsia="Calibri" w:hAnsi="Calibri" w:cs="Arial"/>
          <w:sz w:val="22"/>
          <w:szCs w:val="22"/>
        </w:rPr>
        <w:t>Sub-national estimates might require additional work.</w:t>
      </w:r>
    </w:p>
    <w:p w:rsidR="0035634B" w:rsidRDefault="0035634B">
      <w:bookmarkStart w:id="10" w:name="_GoBack"/>
      <w:bookmarkEnd w:id="10"/>
    </w:p>
    <w:sectPr w:rsidR="0035634B">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A73" w:rsidRDefault="00124A73" w:rsidP="004B48B5">
      <w:r>
        <w:separator/>
      </w:r>
    </w:p>
  </w:endnote>
  <w:endnote w:type="continuationSeparator" w:id="0">
    <w:p w:rsidR="00124A73" w:rsidRDefault="00124A73" w:rsidP="004B4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tantia">
    <w:panose1 w:val="02030602050306030303"/>
    <w:charset w:val="00"/>
    <w:family w:val="roman"/>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A73" w:rsidRDefault="00124A73" w:rsidP="004B48B5">
      <w:r>
        <w:separator/>
      </w:r>
    </w:p>
  </w:footnote>
  <w:footnote w:type="continuationSeparator" w:id="0">
    <w:p w:rsidR="00124A73" w:rsidRDefault="00124A73" w:rsidP="004B48B5">
      <w:r>
        <w:continuationSeparator/>
      </w:r>
    </w:p>
  </w:footnote>
  <w:footnote w:id="1">
    <w:p w:rsidR="004B48B5" w:rsidRPr="0014132C" w:rsidRDefault="004B48B5" w:rsidP="004B48B5">
      <w:pPr>
        <w:jc w:val="both"/>
        <w:rPr>
          <w:rFonts w:asciiTheme="majorHAnsi" w:hAnsiTheme="majorHAnsi"/>
          <w:color w:val="auto"/>
          <w:sz w:val="18"/>
          <w:szCs w:val="18"/>
        </w:rPr>
      </w:pPr>
      <w:r w:rsidRPr="0014132C">
        <w:rPr>
          <w:rStyle w:val="FootnoteReference"/>
          <w:rFonts w:asciiTheme="majorHAnsi" w:hAnsiTheme="majorHAnsi"/>
          <w:color w:val="auto"/>
          <w:sz w:val="18"/>
          <w:szCs w:val="18"/>
        </w:rPr>
        <w:footnoteRef/>
      </w:r>
      <w:r w:rsidRPr="0014132C">
        <w:rPr>
          <w:rFonts w:asciiTheme="majorHAnsi" w:hAnsiTheme="majorHAnsi"/>
          <w:color w:val="auto"/>
          <w:sz w:val="18"/>
          <w:szCs w:val="18"/>
        </w:rPr>
        <w:t xml:space="preserve"> </w:t>
      </w:r>
      <w:r w:rsidRPr="0014132C">
        <w:rPr>
          <w:rFonts w:asciiTheme="majorHAnsi" w:hAnsiTheme="majorHAnsi"/>
          <w:color w:val="auto"/>
          <w:sz w:val="18"/>
          <w:szCs w:val="18"/>
          <w:lang w:val="en-US"/>
        </w:rPr>
        <w:t xml:space="preserve">See: </w:t>
      </w:r>
      <w:hyperlink r:id="rId1" w:history="1">
        <w:r w:rsidRPr="0014132C">
          <w:rPr>
            <w:rStyle w:val="Hyperlink1"/>
            <w:rFonts w:asciiTheme="majorHAnsi" w:hAnsiTheme="majorHAnsi"/>
            <w:color w:val="auto"/>
            <w:sz w:val="18"/>
            <w:szCs w:val="18"/>
          </w:rPr>
          <w:t>http://mdgs.un.org/unsd/mi/wiki/7-1-Proportion-of-land-area-covered-by-forest.ashx</w:t>
        </w:r>
      </w:hyperlink>
    </w:p>
    <w:p w:rsidR="004B48B5" w:rsidRPr="00CA1B60" w:rsidRDefault="004B48B5" w:rsidP="004B48B5">
      <w:pPr>
        <w:pStyle w:val="FootnoteText"/>
        <w:rPr>
          <w:rFonts w:asciiTheme="majorHAnsi" w:hAnsiTheme="majorHAnsi"/>
          <w:sz w:val="18"/>
          <w:szCs w:val="18"/>
        </w:rPr>
      </w:pPr>
    </w:p>
  </w:footnote>
  <w:footnote w:id="2">
    <w:p w:rsidR="004B48B5" w:rsidRPr="00EC3637" w:rsidRDefault="004B48B5" w:rsidP="004B48B5">
      <w:pPr>
        <w:pStyle w:val="PlainText"/>
        <w:spacing w:after="120" w:line="276" w:lineRule="auto"/>
        <w:jc w:val="both"/>
        <w:rPr>
          <w:rFonts w:asciiTheme="minorHAnsi" w:hAnsiTheme="minorHAnsi"/>
          <w:sz w:val="18"/>
          <w:szCs w:val="18"/>
        </w:rPr>
      </w:pPr>
      <w:r w:rsidRPr="00CA1B60">
        <w:rPr>
          <w:rStyle w:val="FootnoteReference"/>
          <w:rFonts w:asciiTheme="majorHAnsi" w:hAnsiTheme="majorHAnsi"/>
          <w:sz w:val="18"/>
          <w:szCs w:val="18"/>
        </w:rPr>
        <w:footnoteRef/>
      </w:r>
      <w:r w:rsidRPr="00CA1B60">
        <w:rPr>
          <w:rFonts w:asciiTheme="majorHAnsi" w:hAnsiTheme="majorHAnsi"/>
          <w:sz w:val="18"/>
          <w:szCs w:val="18"/>
        </w:rPr>
        <w:t xml:space="preserve"> Local elevation range parameter is obtained with a radius of interest around each grid cell: the maximum and minimum elevations within a particular </w:t>
      </w:r>
      <w:proofErr w:type="spellStart"/>
      <w:r w:rsidRPr="00CA1B60">
        <w:rPr>
          <w:rFonts w:asciiTheme="majorHAnsi" w:hAnsiTheme="majorHAnsi"/>
          <w:sz w:val="18"/>
          <w:szCs w:val="18"/>
        </w:rPr>
        <w:t>neighborhood</w:t>
      </w:r>
      <w:proofErr w:type="spellEnd"/>
      <w:r w:rsidRPr="00CA1B60">
        <w:rPr>
          <w:rFonts w:asciiTheme="majorHAnsi" w:hAnsiTheme="majorHAnsi"/>
          <w:sz w:val="18"/>
          <w:szCs w:val="18"/>
        </w:rPr>
        <w:t xml:space="preserve"> are calculated, as well as their difference. The pixel is classified as mountain area if the LER is &gt; 300 on a 7 km radius.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8B5" w:rsidRPr="0030671D" w:rsidRDefault="004B48B5" w:rsidP="00B8003A">
    <w:pPr>
      <w:pStyle w:val="Header"/>
      <w:tabs>
        <w:tab w:val="right" w:pos="9356"/>
      </w:tabs>
      <w:ind w:left="-142"/>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2489E"/>
    <w:multiLevelType w:val="multilevel"/>
    <w:tmpl w:val="41C227B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CC31016"/>
    <w:multiLevelType w:val="multilevel"/>
    <w:tmpl w:val="2236E094"/>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nsid w:val="1EA41E25"/>
    <w:multiLevelType w:val="hybridMultilevel"/>
    <w:tmpl w:val="DD1C3E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670FD6"/>
    <w:multiLevelType w:val="hybridMultilevel"/>
    <w:tmpl w:val="68EA6E22"/>
    <w:lvl w:ilvl="0" w:tplc="277AD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30932"/>
    <w:multiLevelType w:val="hybridMultilevel"/>
    <w:tmpl w:val="FA02BFC0"/>
    <w:lvl w:ilvl="0" w:tplc="934AE0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DB4956"/>
    <w:multiLevelType w:val="hybridMultilevel"/>
    <w:tmpl w:val="65D29A8C"/>
    <w:lvl w:ilvl="0" w:tplc="9286BDD8">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262BD2"/>
    <w:multiLevelType w:val="hybridMultilevel"/>
    <w:tmpl w:val="C19C0810"/>
    <w:lvl w:ilvl="0" w:tplc="B096E15E">
      <w:start w:val="1"/>
      <w:numFmt w:val="decimal"/>
      <w:pStyle w:val="Heading31"/>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575D4CAE"/>
    <w:multiLevelType w:val="hybridMultilevel"/>
    <w:tmpl w:val="0AF49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490360"/>
    <w:multiLevelType w:val="hybridMultilevel"/>
    <w:tmpl w:val="D3DACADC"/>
    <w:lvl w:ilvl="0" w:tplc="08090005">
      <w:start w:val="1"/>
      <w:numFmt w:val="bullet"/>
      <w:lvlText w:val=""/>
      <w:lvlJc w:val="left"/>
      <w:pPr>
        <w:ind w:left="-1065" w:hanging="360"/>
      </w:pPr>
      <w:rPr>
        <w:rFonts w:ascii="Wingdings" w:hAnsi="Wingdings"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4"/>
  </w:num>
  <w:num w:numId="7">
    <w:abstractNumId w:val="3"/>
  </w:num>
  <w:num w:numId="8">
    <w:abstractNumId w:val="5"/>
  </w:num>
  <w:num w:numId="9">
    <w:abstractNumId w:val="7"/>
  </w:num>
  <w:num w:numId="10">
    <w:abstractNumId w:val="6"/>
    <w:lvlOverride w:ilvl="0">
      <w:startOverride w:val="1"/>
    </w:lvlOverride>
  </w:num>
  <w:num w:numId="11">
    <w:abstractNumId w:val="1"/>
  </w:num>
  <w:num w:numId="12">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8B5"/>
    <w:rsid w:val="00124A73"/>
    <w:rsid w:val="0035634B"/>
    <w:rsid w:val="00374D74"/>
    <w:rsid w:val="004B48B5"/>
    <w:rsid w:val="00AC1AA0"/>
    <w:rsid w:val="00F72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Header">
    <w:name w:val="header"/>
    <w:basedOn w:val="Normal"/>
    <w:link w:val="HeaderChar"/>
    <w:uiPriority w:val="99"/>
    <w:semiHidden/>
    <w:unhideWhenUsed/>
    <w:rsid w:val="004B48B5"/>
    <w:pPr>
      <w:tabs>
        <w:tab w:val="center" w:pos="4513"/>
        <w:tab w:val="right" w:pos="9026"/>
      </w:tabs>
    </w:pPr>
  </w:style>
  <w:style w:type="character" w:customStyle="1" w:styleId="HeaderChar">
    <w:name w:val="Header Char"/>
    <w:basedOn w:val="DefaultParagraphFont"/>
    <w:link w:val="Header"/>
    <w:uiPriority w:val="99"/>
    <w:semiHidden/>
    <w:rsid w:val="004B48B5"/>
  </w:style>
  <w:style w:type="paragraph" w:styleId="FootnoteText">
    <w:name w:val="footnote text"/>
    <w:basedOn w:val="Normal"/>
    <w:link w:val="FootnoteTextChar"/>
    <w:uiPriority w:val="99"/>
    <w:semiHidden/>
    <w:unhideWhenUsed/>
    <w:rsid w:val="004B48B5"/>
    <w:rPr>
      <w:sz w:val="20"/>
      <w:szCs w:val="20"/>
    </w:rPr>
  </w:style>
  <w:style w:type="character" w:customStyle="1" w:styleId="FootnoteTextChar">
    <w:name w:val="Footnote Text Char"/>
    <w:basedOn w:val="DefaultParagraphFont"/>
    <w:link w:val="FootnoteText"/>
    <w:uiPriority w:val="99"/>
    <w:semiHidden/>
    <w:rsid w:val="004B48B5"/>
    <w:rPr>
      <w:sz w:val="20"/>
      <w:szCs w:val="20"/>
    </w:rPr>
  </w:style>
  <w:style w:type="paragraph" w:styleId="PlainText">
    <w:name w:val="Plain Text"/>
    <w:basedOn w:val="Normal"/>
    <w:link w:val="PlainTextChar"/>
    <w:uiPriority w:val="99"/>
    <w:semiHidden/>
    <w:unhideWhenUsed/>
    <w:rsid w:val="004B48B5"/>
    <w:rPr>
      <w:rFonts w:ascii="Consolas" w:hAnsi="Consolas" w:cs="Consolas"/>
      <w:sz w:val="21"/>
      <w:szCs w:val="21"/>
    </w:rPr>
  </w:style>
  <w:style w:type="character" w:customStyle="1" w:styleId="PlainTextChar">
    <w:name w:val="Plain Text Char"/>
    <w:basedOn w:val="DefaultParagraphFont"/>
    <w:link w:val="PlainText"/>
    <w:uiPriority w:val="99"/>
    <w:semiHidden/>
    <w:rsid w:val="004B48B5"/>
    <w:rPr>
      <w:rFonts w:ascii="Consolas" w:hAnsi="Consolas" w:cs="Consolas"/>
      <w:sz w:val="21"/>
      <w:szCs w:val="21"/>
    </w:rPr>
  </w:style>
  <w:style w:type="character" w:styleId="FootnoteReference">
    <w:name w:val="footnote reference"/>
    <w:aliases w:val="ftref,16 Point,Superscript 6 Point,Footnote Reference Number,Ref,de nota al pie,BVI fnr,Superscript 10 Point,Footnote symbol"/>
    <w:basedOn w:val="DefaultParagraphFont"/>
    <w:uiPriority w:val="99"/>
    <w:rsid w:val="004B48B5"/>
    <w:rPr>
      <w:vertAlign w:val="superscript"/>
    </w:rPr>
  </w:style>
  <w:style w:type="character" w:customStyle="1" w:styleId="Hyperlink1">
    <w:name w:val="Hyperlink1"/>
    <w:basedOn w:val="DefaultParagraphFont"/>
    <w:uiPriority w:val="99"/>
    <w:unhideWhenUsed/>
    <w:rsid w:val="004B48B5"/>
    <w:rPr>
      <w:color w:val="17BBFD"/>
      <w:u w:val="single"/>
    </w:rPr>
  </w:style>
  <w:style w:type="paragraph" w:customStyle="1" w:styleId="Heading31">
    <w:name w:val="Heading 31"/>
    <w:basedOn w:val="ListParagraph"/>
    <w:next w:val="Normal"/>
    <w:uiPriority w:val="9"/>
    <w:unhideWhenUsed/>
    <w:qFormat/>
    <w:rsid w:val="004B48B5"/>
    <w:pPr>
      <w:keepNext/>
      <w:numPr>
        <w:numId w:val="1"/>
      </w:numPr>
      <w:spacing w:after="200" w:line="276" w:lineRule="auto"/>
      <w:ind w:left="360"/>
      <w:contextualSpacing w:val="0"/>
      <w:outlineLvl w:val="2"/>
    </w:pPr>
    <w:rPr>
      <w:rFonts w:ascii="Calibri" w:eastAsia="SimSun" w:hAnsi="Calibri"/>
      <w:b/>
      <w:color w:val="auto"/>
      <w:sz w:val="22"/>
      <w:szCs w:val="22"/>
      <w:lang w:val="en-US"/>
    </w:rPr>
  </w:style>
  <w:style w:type="character" w:styleId="Hyperlink">
    <w:name w:val="Hyperlink"/>
    <w:basedOn w:val="DefaultParagraphFont"/>
    <w:uiPriority w:val="99"/>
    <w:semiHidden/>
    <w:unhideWhenUsed/>
    <w:rsid w:val="004B48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Header">
    <w:name w:val="header"/>
    <w:basedOn w:val="Normal"/>
    <w:link w:val="HeaderChar"/>
    <w:uiPriority w:val="99"/>
    <w:semiHidden/>
    <w:unhideWhenUsed/>
    <w:rsid w:val="004B48B5"/>
    <w:pPr>
      <w:tabs>
        <w:tab w:val="center" w:pos="4513"/>
        <w:tab w:val="right" w:pos="9026"/>
      </w:tabs>
    </w:pPr>
  </w:style>
  <w:style w:type="character" w:customStyle="1" w:styleId="HeaderChar">
    <w:name w:val="Header Char"/>
    <w:basedOn w:val="DefaultParagraphFont"/>
    <w:link w:val="Header"/>
    <w:uiPriority w:val="99"/>
    <w:semiHidden/>
    <w:rsid w:val="004B48B5"/>
  </w:style>
  <w:style w:type="paragraph" w:styleId="FootnoteText">
    <w:name w:val="footnote text"/>
    <w:basedOn w:val="Normal"/>
    <w:link w:val="FootnoteTextChar"/>
    <w:uiPriority w:val="99"/>
    <w:semiHidden/>
    <w:unhideWhenUsed/>
    <w:rsid w:val="004B48B5"/>
    <w:rPr>
      <w:sz w:val="20"/>
      <w:szCs w:val="20"/>
    </w:rPr>
  </w:style>
  <w:style w:type="character" w:customStyle="1" w:styleId="FootnoteTextChar">
    <w:name w:val="Footnote Text Char"/>
    <w:basedOn w:val="DefaultParagraphFont"/>
    <w:link w:val="FootnoteText"/>
    <w:uiPriority w:val="99"/>
    <w:semiHidden/>
    <w:rsid w:val="004B48B5"/>
    <w:rPr>
      <w:sz w:val="20"/>
      <w:szCs w:val="20"/>
    </w:rPr>
  </w:style>
  <w:style w:type="paragraph" w:styleId="PlainText">
    <w:name w:val="Plain Text"/>
    <w:basedOn w:val="Normal"/>
    <w:link w:val="PlainTextChar"/>
    <w:uiPriority w:val="99"/>
    <w:semiHidden/>
    <w:unhideWhenUsed/>
    <w:rsid w:val="004B48B5"/>
    <w:rPr>
      <w:rFonts w:ascii="Consolas" w:hAnsi="Consolas" w:cs="Consolas"/>
      <w:sz w:val="21"/>
      <w:szCs w:val="21"/>
    </w:rPr>
  </w:style>
  <w:style w:type="character" w:customStyle="1" w:styleId="PlainTextChar">
    <w:name w:val="Plain Text Char"/>
    <w:basedOn w:val="DefaultParagraphFont"/>
    <w:link w:val="PlainText"/>
    <w:uiPriority w:val="99"/>
    <w:semiHidden/>
    <w:rsid w:val="004B48B5"/>
    <w:rPr>
      <w:rFonts w:ascii="Consolas" w:hAnsi="Consolas" w:cs="Consolas"/>
      <w:sz w:val="21"/>
      <w:szCs w:val="21"/>
    </w:rPr>
  </w:style>
  <w:style w:type="character" w:styleId="FootnoteReference">
    <w:name w:val="footnote reference"/>
    <w:aliases w:val="ftref,16 Point,Superscript 6 Point,Footnote Reference Number,Ref,de nota al pie,BVI fnr,Superscript 10 Point,Footnote symbol"/>
    <w:basedOn w:val="DefaultParagraphFont"/>
    <w:uiPriority w:val="99"/>
    <w:rsid w:val="004B48B5"/>
    <w:rPr>
      <w:vertAlign w:val="superscript"/>
    </w:rPr>
  </w:style>
  <w:style w:type="character" w:customStyle="1" w:styleId="Hyperlink1">
    <w:name w:val="Hyperlink1"/>
    <w:basedOn w:val="DefaultParagraphFont"/>
    <w:uiPriority w:val="99"/>
    <w:unhideWhenUsed/>
    <w:rsid w:val="004B48B5"/>
    <w:rPr>
      <w:color w:val="17BBFD"/>
      <w:u w:val="single"/>
    </w:rPr>
  </w:style>
  <w:style w:type="paragraph" w:customStyle="1" w:styleId="Heading31">
    <w:name w:val="Heading 31"/>
    <w:basedOn w:val="ListParagraph"/>
    <w:next w:val="Normal"/>
    <w:uiPriority w:val="9"/>
    <w:unhideWhenUsed/>
    <w:qFormat/>
    <w:rsid w:val="004B48B5"/>
    <w:pPr>
      <w:keepNext/>
      <w:numPr>
        <w:numId w:val="1"/>
      </w:numPr>
      <w:spacing w:after="200" w:line="276" w:lineRule="auto"/>
      <w:ind w:left="360"/>
      <w:contextualSpacing w:val="0"/>
      <w:outlineLvl w:val="2"/>
    </w:pPr>
    <w:rPr>
      <w:rFonts w:ascii="Calibri" w:eastAsia="SimSun" w:hAnsi="Calibri"/>
      <w:b/>
      <w:color w:val="auto"/>
      <w:sz w:val="22"/>
      <w:szCs w:val="22"/>
      <w:lang w:val="en-US"/>
    </w:rPr>
  </w:style>
  <w:style w:type="character" w:styleId="Hyperlink">
    <w:name w:val="Hyperlink"/>
    <w:basedOn w:val="DefaultParagraphFont"/>
    <w:uiPriority w:val="99"/>
    <w:semiHidden/>
    <w:unhideWhenUsed/>
    <w:rsid w:val="004B48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dgs.un.org/unsd/mdg/Metadata.aspx" TargetMode="External"/><Relationship Id="rId13" Type="http://schemas.openxmlformats.org/officeDocument/2006/relationships/hyperlink" Target="https://absch.cbd.int/"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lanttreaty.org/sites/default/files/IT_OWG-EFMLS-2_14_Inf3_en.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francisco.lopez@fao.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absch.cbd.int/" TargetMode="External"/><Relationship Id="rId5" Type="http://schemas.openxmlformats.org/officeDocument/2006/relationships/webSettings" Target="webSettings.xml"/><Relationship Id="rId15" Type="http://schemas.openxmlformats.org/officeDocument/2006/relationships/hyperlink" Target="mailto:aya.idemitsu@fao.org" TargetMode="External"/><Relationship Id="rId10" Type="http://schemas.openxmlformats.org/officeDocument/2006/relationships/hyperlink" Target="http://www.fao.org/geonetwor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planttreaty.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mdgs.un.org/unsd/mi/wiki/7-1-Proportion-of-land-area-covered-by-forest.ash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4486</Words>
  <Characters>25574</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30001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2015-09-22T13:33:00Z</dcterms:created>
  <dcterms:modified xsi:type="dcterms:W3CDTF">2015-09-22T13:33:00Z</dcterms:modified>
</cp:coreProperties>
</file>